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2D53" w14:textId="342CEB97" w:rsidR="008D78C1" w:rsidRPr="00EC6831" w:rsidRDefault="00B94D68" w:rsidP="007261C2">
      <w:pPr>
        <w:jc w:val="center"/>
        <w:rPr>
          <w:rFonts w:asciiTheme="minorBidi" w:hAnsiTheme="minorBidi"/>
          <w:b/>
          <w:bCs/>
          <w:sz w:val="40"/>
          <w:szCs w:val="40"/>
        </w:rPr>
      </w:pPr>
      <w:bookmarkStart w:id="0" w:name="_Hlk169534485"/>
      <w:r w:rsidRPr="00EC6831">
        <w:rPr>
          <w:rFonts w:asciiTheme="minorBidi" w:hAnsiTheme="minorBidi"/>
          <w:b/>
          <w:bCs/>
          <w:sz w:val="40"/>
          <w:szCs w:val="40"/>
        </w:rPr>
        <w:t>Generic Design Assessment</w:t>
      </w:r>
    </w:p>
    <w:p w14:paraId="3683CE2C" w14:textId="54674822" w:rsidR="00293091" w:rsidRPr="00EC6831" w:rsidRDefault="00293091" w:rsidP="00293091">
      <w:pPr>
        <w:jc w:val="center"/>
        <w:rPr>
          <w:rFonts w:asciiTheme="minorBidi" w:hAnsiTheme="minorBidi"/>
          <w:b/>
          <w:bCs/>
          <w:sz w:val="40"/>
          <w:szCs w:val="40"/>
        </w:rPr>
      </w:pPr>
      <w:r w:rsidRPr="00EC6831">
        <w:rPr>
          <w:rFonts w:asciiTheme="minorBidi" w:hAnsiTheme="minorBidi"/>
          <w:b/>
          <w:bCs/>
          <w:sz w:val="40"/>
          <w:szCs w:val="40"/>
        </w:rPr>
        <w:t>S</w:t>
      </w:r>
      <w:r w:rsidR="00B94D68" w:rsidRPr="00EC6831">
        <w:rPr>
          <w:rFonts w:asciiTheme="minorBidi" w:hAnsiTheme="minorBidi"/>
          <w:b/>
          <w:bCs/>
          <w:sz w:val="40"/>
          <w:szCs w:val="40"/>
        </w:rPr>
        <w:t>tep 2 Statement</w:t>
      </w:r>
    </w:p>
    <w:p w14:paraId="1082CAFA" w14:textId="2D2C27AA" w:rsidR="00293091" w:rsidRPr="00EC6831" w:rsidRDefault="00B94D68" w:rsidP="00293091">
      <w:pPr>
        <w:jc w:val="center"/>
        <w:rPr>
          <w:rFonts w:asciiTheme="minorBidi" w:hAnsiTheme="minorBidi"/>
          <w:b/>
          <w:bCs/>
          <w:sz w:val="40"/>
          <w:szCs w:val="40"/>
        </w:rPr>
      </w:pPr>
      <w:r w:rsidRPr="00EC6831">
        <w:rPr>
          <w:rFonts w:asciiTheme="minorBidi" w:hAnsiTheme="minorBidi"/>
          <w:b/>
          <w:bCs/>
          <w:sz w:val="40"/>
          <w:szCs w:val="40"/>
        </w:rPr>
        <w:t xml:space="preserve">for the </w:t>
      </w:r>
      <w:r w:rsidR="00293091" w:rsidRPr="00EC6831">
        <w:rPr>
          <w:rFonts w:asciiTheme="minorBidi" w:hAnsiTheme="minorBidi"/>
          <w:b/>
          <w:bCs/>
          <w:sz w:val="40"/>
          <w:szCs w:val="40"/>
        </w:rPr>
        <w:t>R</w:t>
      </w:r>
      <w:r w:rsidRPr="00EC6831">
        <w:rPr>
          <w:rFonts w:asciiTheme="minorBidi" w:hAnsiTheme="minorBidi"/>
          <w:b/>
          <w:bCs/>
          <w:sz w:val="40"/>
          <w:szCs w:val="40"/>
        </w:rPr>
        <w:t>olls-Royce SMR</w:t>
      </w:r>
    </w:p>
    <w:bookmarkEnd w:id="0"/>
    <w:p w14:paraId="78204F00" w14:textId="77777777" w:rsidR="00F834C6" w:rsidRDefault="00F834C6" w:rsidP="0032466C">
      <w:pPr>
        <w:rPr>
          <w:rFonts w:asciiTheme="minorBidi" w:hAnsiTheme="minorBidi"/>
          <w:sz w:val="24"/>
          <w:szCs w:val="24"/>
        </w:rPr>
      </w:pPr>
    </w:p>
    <w:p w14:paraId="0CD5D466" w14:textId="466A53DE" w:rsidR="006158E6" w:rsidRDefault="006158E6" w:rsidP="0032466C">
      <w:pPr>
        <w:rPr>
          <w:rFonts w:asciiTheme="minorBidi" w:hAnsiTheme="minorBidi"/>
          <w:sz w:val="24"/>
          <w:szCs w:val="24"/>
        </w:rPr>
      </w:pPr>
      <w:r w:rsidRPr="00721B79">
        <w:rPr>
          <w:rFonts w:asciiTheme="minorBidi" w:hAnsiTheme="minorBidi"/>
          <w:sz w:val="24"/>
          <w:szCs w:val="24"/>
        </w:rPr>
        <w:t xml:space="preserve">The Office for Nuclear Regulation (ONR), in accordance with the document 'New </w:t>
      </w:r>
      <w:r w:rsidRPr="00981A1C">
        <w:rPr>
          <w:rFonts w:asciiTheme="minorBidi" w:hAnsiTheme="minorBidi"/>
          <w:sz w:val="24"/>
          <w:szCs w:val="24"/>
        </w:rPr>
        <w:t xml:space="preserve">Nuclear </w:t>
      </w:r>
      <w:r w:rsidR="00987AF4" w:rsidRPr="00981A1C">
        <w:rPr>
          <w:rFonts w:asciiTheme="minorBidi" w:hAnsiTheme="minorBidi"/>
          <w:sz w:val="24"/>
          <w:szCs w:val="24"/>
        </w:rPr>
        <w:t>Power Plants</w:t>
      </w:r>
      <w:r w:rsidRPr="00981A1C">
        <w:rPr>
          <w:rFonts w:asciiTheme="minorBidi" w:hAnsiTheme="minorBidi"/>
          <w:sz w:val="24"/>
          <w:szCs w:val="24"/>
        </w:rPr>
        <w:t>: Generic Design Assessment Guidance to Requesting Partie</w:t>
      </w:r>
      <w:r w:rsidR="0032466C" w:rsidRPr="00981A1C">
        <w:rPr>
          <w:rFonts w:asciiTheme="minorBidi" w:hAnsiTheme="minorBidi"/>
          <w:sz w:val="24"/>
          <w:szCs w:val="24"/>
        </w:rPr>
        <w:t>s’</w:t>
      </w:r>
      <w:r w:rsidRPr="00981A1C">
        <w:rPr>
          <w:rFonts w:asciiTheme="minorBidi" w:hAnsiTheme="minorBidi"/>
          <w:sz w:val="24"/>
          <w:szCs w:val="24"/>
        </w:rPr>
        <w:t>, ONR-GDA-GD-00</w:t>
      </w:r>
      <w:r w:rsidR="0032466C" w:rsidRPr="00981A1C">
        <w:rPr>
          <w:rFonts w:asciiTheme="minorBidi" w:hAnsiTheme="minorBidi"/>
          <w:sz w:val="24"/>
          <w:szCs w:val="24"/>
        </w:rPr>
        <w:t>6</w:t>
      </w:r>
      <w:r w:rsidRPr="00981A1C">
        <w:rPr>
          <w:rFonts w:asciiTheme="minorBidi" w:hAnsiTheme="minorBidi"/>
          <w:sz w:val="24"/>
          <w:szCs w:val="24"/>
        </w:rPr>
        <w:t xml:space="preserve"> Revision </w:t>
      </w:r>
      <w:r w:rsidR="0032466C" w:rsidRPr="00981A1C">
        <w:rPr>
          <w:rFonts w:asciiTheme="minorBidi" w:hAnsiTheme="minorBidi"/>
          <w:sz w:val="24"/>
          <w:szCs w:val="24"/>
        </w:rPr>
        <w:t>0</w:t>
      </w:r>
      <w:r w:rsidRPr="00981A1C">
        <w:rPr>
          <w:rFonts w:asciiTheme="minorBidi" w:hAnsiTheme="minorBidi"/>
          <w:sz w:val="24"/>
          <w:szCs w:val="24"/>
        </w:rPr>
        <w:t xml:space="preserve">, October 2019, hereby gives </w:t>
      </w:r>
      <w:r w:rsidR="004C3EDC" w:rsidRPr="00981A1C">
        <w:rPr>
          <w:rFonts w:asciiTheme="minorBidi" w:hAnsiTheme="minorBidi"/>
          <w:sz w:val="24"/>
          <w:szCs w:val="24"/>
        </w:rPr>
        <w:t>Rolls-Royce SMR Limited</w:t>
      </w:r>
      <w:r w:rsidRPr="00981A1C">
        <w:rPr>
          <w:rFonts w:asciiTheme="minorBidi" w:hAnsiTheme="minorBidi"/>
          <w:sz w:val="24"/>
          <w:szCs w:val="24"/>
        </w:rPr>
        <w:t xml:space="preserve"> a </w:t>
      </w:r>
      <w:r w:rsidR="004C3EDC" w:rsidRPr="00981A1C">
        <w:rPr>
          <w:rFonts w:asciiTheme="minorBidi" w:hAnsiTheme="minorBidi"/>
          <w:sz w:val="24"/>
          <w:szCs w:val="24"/>
        </w:rPr>
        <w:t xml:space="preserve">Generic Design Assessment </w:t>
      </w:r>
      <w:r w:rsidR="00222009" w:rsidRPr="00981A1C">
        <w:rPr>
          <w:rFonts w:asciiTheme="minorBidi" w:hAnsiTheme="minorBidi"/>
          <w:sz w:val="24"/>
          <w:szCs w:val="24"/>
        </w:rPr>
        <w:t xml:space="preserve">(GDA) </w:t>
      </w:r>
      <w:r w:rsidR="004C3EDC" w:rsidRPr="00981A1C">
        <w:rPr>
          <w:rFonts w:asciiTheme="minorBidi" w:hAnsiTheme="minorBidi"/>
          <w:sz w:val="24"/>
          <w:szCs w:val="24"/>
        </w:rPr>
        <w:t xml:space="preserve">Step 2 </w:t>
      </w:r>
      <w:r w:rsidR="00361641" w:rsidRPr="00981A1C">
        <w:rPr>
          <w:rFonts w:asciiTheme="minorBidi" w:hAnsiTheme="minorBidi"/>
          <w:sz w:val="24"/>
          <w:szCs w:val="24"/>
        </w:rPr>
        <w:t xml:space="preserve">Statement </w:t>
      </w:r>
      <w:r w:rsidR="004C3EDC" w:rsidRPr="00981A1C">
        <w:rPr>
          <w:rFonts w:asciiTheme="minorBidi" w:hAnsiTheme="minorBidi"/>
          <w:sz w:val="24"/>
          <w:szCs w:val="24"/>
        </w:rPr>
        <w:t xml:space="preserve">for the </w:t>
      </w:r>
      <w:r w:rsidR="000531ED" w:rsidRPr="00981A1C">
        <w:rPr>
          <w:rFonts w:asciiTheme="minorBidi" w:hAnsiTheme="minorBidi"/>
          <w:sz w:val="24"/>
          <w:szCs w:val="24"/>
        </w:rPr>
        <w:t xml:space="preserve">generic </w:t>
      </w:r>
      <w:r w:rsidR="004C3EDC" w:rsidRPr="00981A1C">
        <w:rPr>
          <w:rFonts w:asciiTheme="minorBidi" w:hAnsiTheme="minorBidi"/>
          <w:sz w:val="24"/>
          <w:szCs w:val="24"/>
        </w:rPr>
        <w:t>Rolls-Royce SMR</w:t>
      </w:r>
      <w:r w:rsidR="006B26BC" w:rsidRPr="00981A1C">
        <w:rPr>
          <w:rFonts w:asciiTheme="minorBidi" w:hAnsiTheme="minorBidi"/>
          <w:sz w:val="24"/>
          <w:szCs w:val="24"/>
        </w:rPr>
        <w:t xml:space="preserve"> </w:t>
      </w:r>
      <w:r w:rsidR="000531ED" w:rsidRPr="00981A1C">
        <w:rPr>
          <w:rFonts w:asciiTheme="minorBidi" w:hAnsiTheme="minorBidi"/>
          <w:sz w:val="24"/>
          <w:szCs w:val="24"/>
        </w:rPr>
        <w:t>design</w:t>
      </w:r>
      <w:r w:rsidRPr="00981A1C">
        <w:rPr>
          <w:rFonts w:asciiTheme="minorBidi" w:hAnsiTheme="minorBidi"/>
          <w:sz w:val="24"/>
          <w:szCs w:val="24"/>
        </w:rPr>
        <w:t>.</w:t>
      </w:r>
      <w:r w:rsidRPr="00721B79">
        <w:rPr>
          <w:rFonts w:asciiTheme="minorBidi" w:hAnsiTheme="minorBidi"/>
          <w:sz w:val="24"/>
          <w:szCs w:val="24"/>
        </w:rPr>
        <w:t xml:space="preserve"> </w:t>
      </w:r>
    </w:p>
    <w:p w14:paraId="51A986C9" w14:textId="618B4C4F" w:rsidR="00CA32BD" w:rsidRPr="002D7FB8" w:rsidRDefault="00AE002F" w:rsidP="00A02B51">
      <w:pPr>
        <w:rPr>
          <w:rFonts w:asciiTheme="minorBidi" w:hAnsiTheme="minorBidi"/>
          <w:sz w:val="24"/>
          <w:szCs w:val="24"/>
        </w:rPr>
      </w:pPr>
      <w:r w:rsidRPr="00751322">
        <w:rPr>
          <w:rFonts w:asciiTheme="minorBidi" w:hAnsiTheme="minorBidi"/>
          <w:sz w:val="24"/>
          <w:szCs w:val="24"/>
        </w:rPr>
        <w:t>Based upon assessment to date</w:t>
      </w:r>
      <w:r w:rsidR="00A02B51" w:rsidRPr="00751322">
        <w:rPr>
          <w:rFonts w:asciiTheme="minorBidi" w:hAnsiTheme="minorBidi"/>
          <w:sz w:val="24"/>
          <w:szCs w:val="24"/>
        </w:rPr>
        <w:t xml:space="preserve"> </w:t>
      </w:r>
      <w:r w:rsidR="00CA32BD" w:rsidRPr="00751322">
        <w:rPr>
          <w:rFonts w:asciiTheme="minorBidi" w:hAnsiTheme="minorBidi"/>
          <w:sz w:val="24"/>
          <w:szCs w:val="24"/>
        </w:rPr>
        <w:t xml:space="preserve">ONR has not identified any significant issues that may prevent ONR from issuing a </w:t>
      </w:r>
      <w:r w:rsidR="003726C2" w:rsidRPr="00751322">
        <w:rPr>
          <w:rFonts w:asciiTheme="minorBidi" w:hAnsiTheme="minorBidi"/>
          <w:sz w:val="24"/>
          <w:szCs w:val="24"/>
        </w:rPr>
        <w:t>Design Assessment Confirmation (</w:t>
      </w:r>
      <w:r w:rsidR="00CA32BD" w:rsidRPr="00751322">
        <w:rPr>
          <w:rFonts w:asciiTheme="minorBidi" w:hAnsiTheme="minorBidi"/>
          <w:sz w:val="24"/>
          <w:szCs w:val="24"/>
        </w:rPr>
        <w:t>DAC</w:t>
      </w:r>
      <w:r w:rsidR="003726C2" w:rsidRPr="00751322">
        <w:rPr>
          <w:rFonts w:asciiTheme="minorBidi" w:hAnsiTheme="minorBidi"/>
          <w:sz w:val="24"/>
          <w:szCs w:val="24"/>
        </w:rPr>
        <w:t>)</w:t>
      </w:r>
      <w:r w:rsidR="00CA32BD" w:rsidRPr="00751322">
        <w:rPr>
          <w:rFonts w:asciiTheme="minorBidi" w:hAnsiTheme="minorBidi"/>
          <w:sz w:val="24"/>
          <w:szCs w:val="24"/>
        </w:rPr>
        <w:t xml:space="preserve">, might prevent ONR permissioning construction of a </w:t>
      </w:r>
      <w:r w:rsidR="00070152" w:rsidRPr="00751322">
        <w:rPr>
          <w:rFonts w:asciiTheme="minorBidi" w:hAnsiTheme="minorBidi"/>
          <w:sz w:val="24"/>
          <w:szCs w:val="24"/>
        </w:rPr>
        <w:t>nuclear power plant</w:t>
      </w:r>
      <w:r w:rsidR="00CA32BD" w:rsidRPr="00751322">
        <w:rPr>
          <w:rFonts w:asciiTheme="minorBidi" w:hAnsiTheme="minorBidi"/>
          <w:sz w:val="24"/>
          <w:szCs w:val="24"/>
        </w:rPr>
        <w:t xml:space="preserve"> based upon that design</w:t>
      </w:r>
      <w:r w:rsidR="0067315F">
        <w:rPr>
          <w:rFonts w:asciiTheme="minorBidi" w:hAnsiTheme="minorBidi"/>
          <w:sz w:val="24"/>
          <w:szCs w:val="24"/>
        </w:rPr>
        <w:t>,</w:t>
      </w:r>
      <w:r w:rsidR="00CA32BD" w:rsidRPr="00751322">
        <w:rPr>
          <w:rFonts w:asciiTheme="minorBidi" w:hAnsiTheme="minorBidi"/>
          <w:sz w:val="24"/>
          <w:szCs w:val="24"/>
        </w:rPr>
        <w:t xml:space="preserve"> or which might be in conflict with </w:t>
      </w:r>
      <w:r w:rsidR="003726C2" w:rsidRPr="00751322">
        <w:rPr>
          <w:rFonts w:asciiTheme="minorBidi" w:hAnsiTheme="minorBidi"/>
          <w:sz w:val="24"/>
          <w:szCs w:val="24"/>
        </w:rPr>
        <w:t xml:space="preserve">relevant </w:t>
      </w:r>
      <w:r w:rsidR="00007592">
        <w:rPr>
          <w:rFonts w:asciiTheme="minorBidi" w:hAnsiTheme="minorBidi"/>
          <w:sz w:val="24"/>
          <w:szCs w:val="24"/>
        </w:rPr>
        <w:t>g</w:t>
      </w:r>
      <w:r w:rsidR="00CA32BD" w:rsidRPr="00751322">
        <w:rPr>
          <w:rFonts w:asciiTheme="minorBidi" w:hAnsiTheme="minorBidi"/>
          <w:sz w:val="24"/>
          <w:szCs w:val="24"/>
        </w:rPr>
        <w:t>overnment policy</w:t>
      </w:r>
      <w:r w:rsidR="00361641" w:rsidRPr="00751322">
        <w:rPr>
          <w:rFonts w:asciiTheme="minorBidi" w:hAnsiTheme="minorBidi"/>
          <w:sz w:val="24"/>
          <w:szCs w:val="24"/>
        </w:rPr>
        <w:t>;</w:t>
      </w:r>
    </w:p>
    <w:p w14:paraId="534942C9" w14:textId="0D0D9FEF" w:rsidR="00A02B51" w:rsidRPr="002D7FB8" w:rsidRDefault="00A02B51" w:rsidP="002D7FB8">
      <w:pPr>
        <w:rPr>
          <w:rFonts w:asciiTheme="minorBidi" w:hAnsiTheme="minorBidi"/>
          <w:sz w:val="24"/>
          <w:szCs w:val="24"/>
        </w:rPr>
      </w:pPr>
      <w:r w:rsidRPr="002D7FB8">
        <w:rPr>
          <w:rFonts w:asciiTheme="minorBidi" w:hAnsiTheme="minorBidi"/>
          <w:sz w:val="24"/>
          <w:szCs w:val="24"/>
        </w:rPr>
        <w:t>This judgement:</w:t>
      </w:r>
    </w:p>
    <w:p w14:paraId="36B1EE3A" w14:textId="79C263B8" w:rsidR="00293500" w:rsidRPr="00721B79" w:rsidRDefault="006158E6" w:rsidP="00293500">
      <w:pPr>
        <w:pStyle w:val="ListParagraph"/>
        <w:numPr>
          <w:ilvl w:val="0"/>
          <w:numId w:val="7"/>
        </w:numPr>
        <w:ind w:hanging="720"/>
        <w:rPr>
          <w:rFonts w:asciiTheme="minorBidi" w:hAnsiTheme="minorBidi"/>
          <w:sz w:val="24"/>
          <w:szCs w:val="24"/>
        </w:rPr>
      </w:pPr>
      <w:r w:rsidRPr="00A02B51">
        <w:rPr>
          <w:rFonts w:asciiTheme="minorBidi" w:hAnsiTheme="minorBidi"/>
          <w:sz w:val="24"/>
          <w:szCs w:val="24"/>
        </w:rPr>
        <w:t xml:space="preserve">is given </w:t>
      </w:r>
      <w:r w:rsidR="003726C2" w:rsidRPr="00A02B51">
        <w:rPr>
          <w:rFonts w:asciiTheme="minorBidi" w:hAnsiTheme="minorBidi"/>
          <w:sz w:val="24"/>
          <w:szCs w:val="24"/>
        </w:rPr>
        <w:t>based</w:t>
      </w:r>
      <w:r w:rsidR="003726C2" w:rsidRPr="00721B79">
        <w:rPr>
          <w:rFonts w:asciiTheme="minorBidi" w:hAnsiTheme="minorBidi"/>
          <w:sz w:val="24"/>
          <w:szCs w:val="24"/>
        </w:rPr>
        <w:t xml:space="preserve"> upon </w:t>
      </w:r>
      <w:r w:rsidRPr="00721B79">
        <w:rPr>
          <w:rFonts w:asciiTheme="minorBidi" w:hAnsiTheme="minorBidi"/>
          <w:sz w:val="24"/>
          <w:szCs w:val="24"/>
        </w:rPr>
        <w:t>the assessment described in the Annex</w:t>
      </w:r>
      <w:r w:rsidR="0015467D">
        <w:rPr>
          <w:rFonts w:asciiTheme="minorBidi" w:hAnsiTheme="minorBidi"/>
          <w:sz w:val="24"/>
          <w:szCs w:val="24"/>
        </w:rPr>
        <w:t xml:space="preserve">. </w:t>
      </w:r>
      <w:r w:rsidR="0015467D" w:rsidRPr="0015467D">
        <w:rPr>
          <w:rFonts w:asciiTheme="minorBidi" w:hAnsiTheme="minorBidi"/>
          <w:sz w:val="24"/>
          <w:szCs w:val="24"/>
        </w:rPr>
        <w:t xml:space="preserve">The regulatory findings made during Step 2 are based on the scope and design maturity described </w:t>
      </w:r>
      <w:r w:rsidR="0015467D">
        <w:rPr>
          <w:rFonts w:asciiTheme="minorBidi" w:hAnsiTheme="minorBidi"/>
          <w:sz w:val="24"/>
          <w:szCs w:val="24"/>
        </w:rPr>
        <w:t>in the Annex</w:t>
      </w:r>
      <w:r w:rsidR="00D37021">
        <w:rPr>
          <w:rFonts w:asciiTheme="minorBidi" w:hAnsiTheme="minorBidi"/>
          <w:sz w:val="24"/>
          <w:szCs w:val="24"/>
        </w:rPr>
        <w:t>;</w:t>
      </w:r>
    </w:p>
    <w:p w14:paraId="04D77D19" w14:textId="1DE8BD95" w:rsidR="00293500" w:rsidRPr="00721B79" w:rsidRDefault="006158E6" w:rsidP="00293500">
      <w:pPr>
        <w:pStyle w:val="ListParagraph"/>
        <w:numPr>
          <w:ilvl w:val="0"/>
          <w:numId w:val="7"/>
        </w:numPr>
        <w:ind w:hanging="720"/>
        <w:rPr>
          <w:rFonts w:asciiTheme="minorBidi" w:hAnsiTheme="minorBidi"/>
          <w:sz w:val="24"/>
          <w:szCs w:val="24"/>
        </w:rPr>
      </w:pPr>
      <w:r w:rsidRPr="00721B79">
        <w:rPr>
          <w:rFonts w:asciiTheme="minorBidi" w:hAnsiTheme="minorBidi"/>
          <w:sz w:val="24"/>
          <w:szCs w:val="24"/>
        </w:rPr>
        <w:t xml:space="preserve">does not guarantee that ONR will grant permission for the construction of a power station </w:t>
      </w:r>
      <w:r w:rsidRPr="00981A1C">
        <w:rPr>
          <w:rFonts w:asciiTheme="minorBidi" w:hAnsiTheme="minorBidi"/>
          <w:sz w:val="24"/>
          <w:szCs w:val="24"/>
        </w:rPr>
        <w:t xml:space="preserve">based on the </w:t>
      </w:r>
      <w:r w:rsidR="00C87E1A" w:rsidRPr="00981A1C">
        <w:rPr>
          <w:rFonts w:asciiTheme="minorBidi" w:hAnsiTheme="minorBidi"/>
          <w:sz w:val="24"/>
          <w:szCs w:val="24"/>
        </w:rPr>
        <w:t xml:space="preserve">Rolls-Royce SMR </w:t>
      </w:r>
      <w:r w:rsidRPr="00981A1C">
        <w:rPr>
          <w:rFonts w:asciiTheme="minorBidi" w:hAnsiTheme="minorBidi"/>
          <w:sz w:val="24"/>
          <w:szCs w:val="24"/>
        </w:rPr>
        <w:t xml:space="preserve">design at a particular site in Great Britain. Any organisation intending to build and operate a </w:t>
      </w:r>
      <w:r w:rsidR="00DE0652" w:rsidRPr="00981A1C">
        <w:rPr>
          <w:rFonts w:asciiTheme="minorBidi" w:hAnsiTheme="minorBidi"/>
          <w:sz w:val="24"/>
          <w:szCs w:val="24"/>
        </w:rPr>
        <w:t>Rolls-Royce SMR</w:t>
      </w:r>
      <w:r w:rsidRPr="00981A1C">
        <w:rPr>
          <w:rFonts w:asciiTheme="minorBidi" w:hAnsiTheme="minorBidi"/>
          <w:sz w:val="24"/>
          <w:szCs w:val="24"/>
        </w:rPr>
        <w:t xml:space="preserve"> in Great Britain must first obtain from ONR a nuclear site licence, as required under the Nuclear Installations</w:t>
      </w:r>
      <w:r w:rsidRPr="00721B79">
        <w:rPr>
          <w:rFonts w:asciiTheme="minorBidi" w:hAnsiTheme="minorBidi"/>
          <w:sz w:val="24"/>
          <w:szCs w:val="24"/>
        </w:rPr>
        <w:t xml:space="preserve"> Act 1965; and </w:t>
      </w:r>
    </w:p>
    <w:p w14:paraId="066566F0" w14:textId="11BE2502" w:rsidR="00293500" w:rsidRPr="00721B79" w:rsidRDefault="006158E6" w:rsidP="00293500">
      <w:pPr>
        <w:pStyle w:val="ListParagraph"/>
        <w:numPr>
          <w:ilvl w:val="0"/>
          <w:numId w:val="7"/>
        </w:numPr>
        <w:ind w:hanging="720"/>
        <w:rPr>
          <w:rFonts w:asciiTheme="minorBidi" w:hAnsiTheme="minorBidi"/>
          <w:sz w:val="24"/>
          <w:szCs w:val="24"/>
        </w:rPr>
      </w:pPr>
      <w:r w:rsidRPr="00721B79">
        <w:rPr>
          <w:rFonts w:asciiTheme="minorBidi" w:hAnsiTheme="minorBidi"/>
          <w:sz w:val="24"/>
          <w:szCs w:val="24"/>
        </w:rPr>
        <w:t xml:space="preserve">is valid for a period of ten years beginning on the date on which it is issued. </w:t>
      </w:r>
    </w:p>
    <w:p w14:paraId="011809C0" w14:textId="2834ED0D" w:rsidR="001B733D" w:rsidRPr="001B733D" w:rsidRDefault="001B733D" w:rsidP="001B733D">
      <w:pPr>
        <w:rPr>
          <w:rFonts w:asciiTheme="minorBidi" w:hAnsiTheme="minorBidi"/>
          <w:sz w:val="24"/>
          <w:szCs w:val="24"/>
        </w:rPr>
      </w:pPr>
      <w:r w:rsidRPr="001B733D">
        <w:rPr>
          <w:rFonts w:asciiTheme="minorBidi" w:hAnsiTheme="minorBidi"/>
          <w:sz w:val="24"/>
          <w:szCs w:val="24"/>
        </w:rPr>
        <w:t xml:space="preserve">This conclusion will be taken into account by ONR in any subsequent work </w:t>
      </w:r>
      <w:r w:rsidR="005C5892">
        <w:rPr>
          <w:rFonts w:asciiTheme="minorBidi" w:hAnsiTheme="minorBidi"/>
          <w:sz w:val="24"/>
          <w:szCs w:val="24"/>
        </w:rPr>
        <w:t xml:space="preserve">as part of a GDA </w:t>
      </w:r>
      <w:r w:rsidRPr="001B733D">
        <w:rPr>
          <w:rFonts w:asciiTheme="minorBidi" w:hAnsiTheme="minorBidi"/>
          <w:sz w:val="24"/>
          <w:szCs w:val="24"/>
        </w:rPr>
        <w:t xml:space="preserve">or to grant a future permission. Wherever possible, ONR will not look to reassess those aspects considered </w:t>
      </w:r>
      <w:r w:rsidR="00C947DB">
        <w:rPr>
          <w:rFonts w:asciiTheme="minorBidi" w:hAnsiTheme="minorBidi"/>
          <w:sz w:val="24"/>
          <w:szCs w:val="24"/>
        </w:rPr>
        <w:t xml:space="preserve">adequate </w:t>
      </w:r>
      <w:r w:rsidRPr="001B733D">
        <w:rPr>
          <w:rFonts w:asciiTheme="minorBidi" w:hAnsiTheme="minorBidi"/>
          <w:sz w:val="24"/>
          <w:szCs w:val="24"/>
        </w:rPr>
        <w:t xml:space="preserve">in the GDA statement. However, given the nature of the Step 2 assessment, the likelihood of continuing design development, and the </w:t>
      </w:r>
      <w:r w:rsidR="00C947DB">
        <w:rPr>
          <w:rFonts w:asciiTheme="minorBidi" w:hAnsiTheme="minorBidi"/>
          <w:sz w:val="24"/>
          <w:szCs w:val="24"/>
        </w:rPr>
        <w:t>broader</w:t>
      </w:r>
      <w:r w:rsidR="00C947DB" w:rsidRPr="001B733D">
        <w:rPr>
          <w:rFonts w:asciiTheme="minorBidi" w:hAnsiTheme="minorBidi"/>
          <w:sz w:val="24"/>
          <w:szCs w:val="24"/>
        </w:rPr>
        <w:t xml:space="preserve"> </w:t>
      </w:r>
      <w:r w:rsidRPr="001B733D">
        <w:rPr>
          <w:rFonts w:asciiTheme="minorBidi" w:hAnsiTheme="minorBidi"/>
          <w:sz w:val="24"/>
          <w:szCs w:val="24"/>
        </w:rPr>
        <w:t xml:space="preserve">and more detailed scope of any </w:t>
      </w:r>
      <w:r w:rsidR="006471F5">
        <w:rPr>
          <w:rFonts w:asciiTheme="minorBidi" w:hAnsiTheme="minorBidi"/>
          <w:sz w:val="24"/>
          <w:szCs w:val="24"/>
        </w:rPr>
        <w:t xml:space="preserve">subsequent </w:t>
      </w:r>
      <w:r w:rsidRPr="001B733D">
        <w:rPr>
          <w:rFonts w:asciiTheme="minorBidi" w:hAnsiTheme="minorBidi"/>
          <w:sz w:val="24"/>
          <w:szCs w:val="24"/>
        </w:rPr>
        <w:t>assessment</w:t>
      </w:r>
      <w:r w:rsidR="006471F5">
        <w:rPr>
          <w:rFonts w:asciiTheme="minorBidi" w:hAnsiTheme="minorBidi"/>
          <w:sz w:val="24"/>
          <w:szCs w:val="24"/>
        </w:rPr>
        <w:t>s</w:t>
      </w:r>
      <w:r w:rsidRPr="001B733D">
        <w:rPr>
          <w:rFonts w:asciiTheme="minorBidi" w:hAnsiTheme="minorBidi"/>
          <w:sz w:val="24"/>
          <w:szCs w:val="24"/>
        </w:rPr>
        <w:t xml:space="preserve">, some aspects may need to </w:t>
      </w:r>
      <w:r w:rsidR="006471F5">
        <w:rPr>
          <w:rFonts w:asciiTheme="minorBidi" w:hAnsiTheme="minorBidi"/>
          <w:sz w:val="24"/>
          <w:szCs w:val="24"/>
        </w:rPr>
        <w:t xml:space="preserve">be </w:t>
      </w:r>
      <w:r w:rsidRPr="001B733D">
        <w:rPr>
          <w:rFonts w:asciiTheme="minorBidi" w:hAnsiTheme="minorBidi"/>
          <w:sz w:val="24"/>
          <w:szCs w:val="24"/>
        </w:rPr>
        <w:t>re-examined</w:t>
      </w:r>
      <w:r w:rsidR="008B3F3B">
        <w:rPr>
          <w:rFonts w:asciiTheme="minorBidi" w:hAnsiTheme="minorBidi"/>
          <w:sz w:val="24"/>
          <w:szCs w:val="24"/>
        </w:rPr>
        <w:t xml:space="preserve"> to ensure the conclusion remains valid</w:t>
      </w:r>
      <w:r w:rsidR="0076572E">
        <w:rPr>
          <w:rFonts w:asciiTheme="minorBidi" w:hAnsiTheme="minorBidi"/>
          <w:sz w:val="24"/>
          <w:szCs w:val="24"/>
        </w:rPr>
        <w:t>.</w:t>
      </w:r>
    </w:p>
    <w:p w14:paraId="27863117" w14:textId="77777777" w:rsidR="008B317C" w:rsidRDefault="008B317C" w:rsidP="00293500">
      <w:pPr>
        <w:rPr>
          <w:rFonts w:asciiTheme="minorBidi" w:hAnsiTheme="minorBidi"/>
          <w:b/>
          <w:bCs/>
          <w:sz w:val="24"/>
          <w:szCs w:val="24"/>
        </w:rPr>
      </w:pPr>
    </w:p>
    <w:p w14:paraId="3C3E607B" w14:textId="2975CEAB" w:rsidR="007559F1" w:rsidRPr="00C05A62" w:rsidRDefault="006158E6" w:rsidP="00293500">
      <w:pPr>
        <w:rPr>
          <w:rFonts w:asciiTheme="minorBidi" w:hAnsiTheme="minorBidi"/>
          <w:b/>
          <w:bCs/>
          <w:sz w:val="24"/>
          <w:szCs w:val="24"/>
        </w:rPr>
      </w:pPr>
      <w:r w:rsidRPr="00C05A62">
        <w:rPr>
          <w:rFonts w:asciiTheme="minorBidi" w:hAnsiTheme="minorBidi"/>
          <w:b/>
          <w:bCs/>
          <w:sz w:val="24"/>
          <w:szCs w:val="24"/>
        </w:rPr>
        <w:t xml:space="preserve">Signed </w:t>
      </w:r>
      <w:r w:rsidR="007559F1" w:rsidRPr="00C05A62">
        <w:rPr>
          <w:rFonts w:asciiTheme="minorBidi" w:hAnsiTheme="minorBidi"/>
          <w:b/>
          <w:bCs/>
          <w:sz w:val="24"/>
          <w:szCs w:val="24"/>
        </w:rPr>
        <w:t xml:space="preserve">                                                                              </w:t>
      </w:r>
      <w:r w:rsidRPr="00C05A62">
        <w:rPr>
          <w:rFonts w:asciiTheme="minorBidi" w:hAnsiTheme="minorBidi"/>
          <w:b/>
          <w:bCs/>
          <w:sz w:val="24"/>
          <w:szCs w:val="24"/>
        </w:rPr>
        <w:t xml:space="preserve">Date of Issue </w:t>
      </w:r>
    </w:p>
    <w:p w14:paraId="04FDC2A6" w14:textId="04898813" w:rsidR="007559F1" w:rsidRPr="00721B79" w:rsidRDefault="008B317C" w:rsidP="00293500">
      <w:pPr>
        <w:rPr>
          <w:rFonts w:asciiTheme="minorBidi" w:hAnsiTheme="minorBidi"/>
          <w:sz w:val="24"/>
          <w:szCs w:val="24"/>
        </w:rPr>
      </w:pPr>
      <w:r>
        <w:rPr>
          <w:rFonts w:asciiTheme="minorBidi" w:hAnsiTheme="minorBidi"/>
          <w:sz w:val="24"/>
          <w:szCs w:val="24"/>
        </w:rPr>
        <w:t xml:space="preserve"> </w:t>
      </w:r>
      <w:r w:rsidR="00A71CA7">
        <w:rPr>
          <w:rFonts w:asciiTheme="minorBidi" w:hAnsiTheme="minorBidi"/>
          <w:sz w:val="24"/>
          <w:szCs w:val="24"/>
        </w:rPr>
        <w:t xml:space="preserve">                                                                                          30 July 2024</w:t>
      </w:r>
    </w:p>
    <w:p w14:paraId="79828A3E" w14:textId="77777777" w:rsidR="00061A2A" w:rsidRDefault="00061A2A" w:rsidP="00D26A31">
      <w:pPr>
        <w:spacing w:after="0" w:line="240" w:lineRule="auto"/>
        <w:rPr>
          <w:rFonts w:asciiTheme="minorBidi" w:hAnsiTheme="minorBidi"/>
          <w:b/>
          <w:bCs/>
          <w:sz w:val="24"/>
          <w:szCs w:val="24"/>
        </w:rPr>
      </w:pPr>
    </w:p>
    <w:p w14:paraId="264CF9D0" w14:textId="502A155E" w:rsidR="00D26A31" w:rsidRPr="00D26A31" w:rsidRDefault="00D26A31" w:rsidP="00D26A31">
      <w:pPr>
        <w:spacing w:after="0" w:line="240" w:lineRule="auto"/>
        <w:rPr>
          <w:rFonts w:asciiTheme="minorBidi" w:hAnsiTheme="minorBidi"/>
          <w:b/>
          <w:bCs/>
          <w:sz w:val="24"/>
          <w:szCs w:val="24"/>
        </w:rPr>
      </w:pPr>
      <w:r w:rsidRPr="00D26A31">
        <w:rPr>
          <w:rFonts w:asciiTheme="minorBidi" w:hAnsiTheme="minorBidi"/>
          <w:b/>
          <w:bCs/>
          <w:sz w:val="24"/>
          <w:szCs w:val="24"/>
        </w:rPr>
        <w:t>Jane Bowie</w:t>
      </w:r>
      <w:r w:rsidRPr="00D26A31">
        <w:rPr>
          <w:rFonts w:asciiTheme="minorBidi" w:hAnsiTheme="minorBidi"/>
          <w:sz w:val="24"/>
          <w:szCs w:val="24"/>
        </w:rPr>
        <w:t xml:space="preserve"> </w:t>
      </w:r>
      <w:r>
        <w:rPr>
          <w:rFonts w:asciiTheme="minorBidi" w:hAnsiTheme="minorBidi"/>
          <w:sz w:val="24"/>
          <w:szCs w:val="24"/>
        </w:rPr>
        <w:t xml:space="preserve">                </w:t>
      </w:r>
      <w:r w:rsidR="00690DA8">
        <w:rPr>
          <w:rFonts w:asciiTheme="minorBidi" w:hAnsiTheme="minorBidi"/>
          <w:sz w:val="24"/>
          <w:szCs w:val="24"/>
        </w:rPr>
        <w:t xml:space="preserve">                                                      </w:t>
      </w:r>
    </w:p>
    <w:p w14:paraId="6D33BEE0" w14:textId="77777777" w:rsidR="000E1B91" w:rsidRDefault="00D26A31" w:rsidP="00D26A31">
      <w:pPr>
        <w:rPr>
          <w:rFonts w:asciiTheme="minorBidi" w:hAnsiTheme="minorBidi"/>
          <w:sz w:val="24"/>
          <w:szCs w:val="24"/>
        </w:rPr>
      </w:pPr>
      <w:r w:rsidRPr="00D26A31">
        <w:rPr>
          <w:rFonts w:asciiTheme="minorBidi" w:hAnsiTheme="minorBidi"/>
          <w:sz w:val="24"/>
          <w:szCs w:val="24"/>
        </w:rPr>
        <w:t>Director of Regulation – New Nuclear Reactors</w:t>
      </w:r>
    </w:p>
    <w:p w14:paraId="769F1C01" w14:textId="77777777" w:rsidR="002435C4" w:rsidRDefault="002435C4" w:rsidP="00D26A31">
      <w:pPr>
        <w:rPr>
          <w:rFonts w:asciiTheme="minorBidi" w:hAnsiTheme="minorBidi"/>
          <w:sz w:val="24"/>
          <w:szCs w:val="24"/>
        </w:rPr>
        <w:sectPr w:rsidR="002435C4">
          <w:headerReference w:type="default" r:id="rId8"/>
          <w:footerReference w:type="default" r:id="rId9"/>
          <w:pgSz w:w="11906" w:h="16838"/>
          <w:pgMar w:top="1440" w:right="1440" w:bottom="1440" w:left="1440" w:header="708" w:footer="708" w:gutter="0"/>
          <w:cols w:space="708"/>
          <w:docGrid w:linePitch="360"/>
        </w:sectPr>
      </w:pPr>
    </w:p>
    <w:p w14:paraId="68E56414" w14:textId="418FADBB" w:rsidR="004A26C8" w:rsidRPr="002435C4" w:rsidRDefault="00B94D68" w:rsidP="002435C4">
      <w:pPr>
        <w:rPr>
          <w:rFonts w:asciiTheme="minorBidi" w:hAnsiTheme="minorBidi"/>
          <w:sz w:val="24"/>
          <w:szCs w:val="24"/>
        </w:rPr>
      </w:pPr>
      <w:r>
        <w:rPr>
          <w:rFonts w:ascii="Arial" w:hAnsi="Arial" w:cs="Arial"/>
          <w:b/>
          <w:bCs/>
          <w:sz w:val="36"/>
          <w:szCs w:val="36"/>
        </w:rPr>
        <w:lastRenderedPageBreak/>
        <w:t>Annex</w:t>
      </w:r>
    </w:p>
    <w:p w14:paraId="0C7B4B1E" w14:textId="59CA023B" w:rsidR="00014743" w:rsidRPr="00D71470" w:rsidRDefault="009E5CD9">
      <w:pPr>
        <w:rPr>
          <w:rFonts w:ascii="Arial" w:hAnsi="Arial" w:cs="Arial"/>
          <w:b/>
          <w:bCs/>
          <w:sz w:val="24"/>
          <w:szCs w:val="24"/>
        </w:rPr>
      </w:pPr>
      <w:r w:rsidRPr="00D71470">
        <w:rPr>
          <w:rFonts w:ascii="Arial" w:hAnsi="Arial" w:cs="Arial"/>
          <w:b/>
          <w:bCs/>
          <w:sz w:val="24"/>
          <w:szCs w:val="24"/>
        </w:rPr>
        <w:t>I</w:t>
      </w:r>
      <w:r w:rsidR="00014743" w:rsidRPr="00D71470">
        <w:rPr>
          <w:rFonts w:ascii="Arial" w:hAnsi="Arial" w:cs="Arial"/>
          <w:b/>
          <w:bCs/>
          <w:sz w:val="24"/>
          <w:szCs w:val="24"/>
        </w:rPr>
        <w:t>ntroduction</w:t>
      </w:r>
    </w:p>
    <w:p w14:paraId="13E73944" w14:textId="49015823" w:rsidR="00260EA2" w:rsidRPr="00D71470" w:rsidRDefault="00B06F9A" w:rsidP="00260EA2">
      <w:pPr>
        <w:pStyle w:val="Numberedparagraph"/>
        <w:numPr>
          <w:ilvl w:val="0"/>
          <w:numId w:val="0"/>
        </w:numPr>
        <w:rPr>
          <w:szCs w:val="24"/>
        </w:rPr>
      </w:pPr>
      <w:r w:rsidRPr="00D71470">
        <w:rPr>
          <w:szCs w:val="24"/>
        </w:rPr>
        <w:t xml:space="preserve">The Rolls-Royce SMR is a 470 </w:t>
      </w:r>
      <w:r w:rsidR="00FC5B6A" w:rsidRPr="00D71470">
        <w:rPr>
          <w:szCs w:val="24"/>
        </w:rPr>
        <w:t xml:space="preserve">MWe </w:t>
      </w:r>
      <w:r w:rsidRPr="00D71470">
        <w:rPr>
          <w:szCs w:val="24"/>
        </w:rPr>
        <w:t>pressurised water reactor</w:t>
      </w:r>
      <w:r w:rsidR="00EE4D86" w:rsidRPr="00D71470">
        <w:rPr>
          <w:szCs w:val="24"/>
        </w:rPr>
        <w:t>. Rolls-Royce SMR Limited is the Requesting Party (RP) for GDA.</w:t>
      </w:r>
    </w:p>
    <w:p w14:paraId="3BB8CAF4" w14:textId="4B88C4BF" w:rsidR="00F70EF5" w:rsidRPr="00D71470" w:rsidRDefault="00260EA2" w:rsidP="00F70EF5">
      <w:pPr>
        <w:pStyle w:val="Numberedparagraph"/>
        <w:numPr>
          <w:ilvl w:val="0"/>
          <w:numId w:val="0"/>
        </w:numPr>
        <w:rPr>
          <w:szCs w:val="24"/>
        </w:rPr>
      </w:pPr>
      <w:r w:rsidRPr="00D71470">
        <w:rPr>
          <w:szCs w:val="24"/>
        </w:rPr>
        <w:t xml:space="preserve">The objective </w:t>
      </w:r>
      <w:r w:rsidR="00BD3BB6" w:rsidRPr="00D71470">
        <w:rPr>
          <w:szCs w:val="24"/>
        </w:rPr>
        <w:t xml:space="preserve">of Step 2 </w:t>
      </w:r>
      <w:r w:rsidR="00A40580" w:rsidRPr="00D71470">
        <w:rPr>
          <w:szCs w:val="24"/>
        </w:rPr>
        <w:t>was</w:t>
      </w:r>
      <w:r w:rsidRPr="00D71470">
        <w:rPr>
          <w:szCs w:val="24"/>
        </w:rPr>
        <w:t xml:space="preserve"> to undertake an assessment of the </w:t>
      </w:r>
      <w:r w:rsidR="00047F3F" w:rsidRPr="00D71470">
        <w:rPr>
          <w:szCs w:val="24"/>
        </w:rPr>
        <w:t xml:space="preserve">generic </w:t>
      </w:r>
      <w:r w:rsidRPr="00D71470">
        <w:rPr>
          <w:szCs w:val="24"/>
        </w:rPr>
        <w:t>design against regulatory expectations to identify any fundamental safety</w:t>
      </w:r>
      <w:r w:rsidR="00047F3F" w:rsidRPr="00D71470">
        <w:rPr>
          <w:szCs w:val="24"/>
        </w:rPr>
        <w:t xml:space="preserve">, </w:t>
      </w:r>
      <w:r w:rsidRPr="00D71470">
        <w:rPr>
          <w:szCs w:val="24"/>
        </w:rPr>
        <w:t>security</w:t>
      </w:r>
      <w:r w:rsidR="00047F3F" w:rsidRPr="00D71470">
        <w:rPr>
          <w:szCs w:val="24"/>
        </w:rPr>
        <w:t xml:space="preserve"> or safeguard</w:t>
      </w:r>
      <w:r w:rsidRPr="00D71470">
        <w:rPr>
          <w:szCs w:val="24"/>
        </w:rPr>
        <w:t xml:space="preserve"> shortfalls that could prevent ONR permissioning the construction of a power station based on the design</w:t>
      </w:r>
      <w:r w:rsidR="007F7FEB" w:rsidRPr="00D71470">
        <w:rPr>
          <w:szCs w:val="24"/>
        </w:rPr>
        <w:t xml:space="preserve"> </w:t>
      </w:r>
      <w:r w:rsidR="001550CD" w:rsidRPr="00D71470">
        <w:rPr>
          <w:szCs w:val="24"/>
        </w:rPr>
        <w:t xml:space="preserve">(ref. </w:t>
      </w:r>
      <w:sdt>
        <w:sdtPr>
          <w:rPr>
            <w:szCs w:val="24"/>
          </w:rPr>
          <w:id w:val="1366104451"/>
          <w:citation/>
        </w:sdtPr>
        <w:sdtEndPr/>
        <w:sdtContent>
          <w:r w:rsidR="003A16DD" w:rsidRPr="00D71470">
            <w:rPr>
              <w:szCs w:val="24"/>
            </w:rPr>
            <w:fldChar w:fldCharType="begin"/>
          </w:r>
          <w:r w:rsidR="003A16DD" w:rsidRPr="00D71470">
            <w:rPr>
              <w:szCs w:val="24"/>
            </w:rPr>
            <w:instrText xml:space="preserve"> CITATION GtoRPs \l 2057 </w:instrText>
          </w:r>
          <w:r w:rsidR="003A16DD" w:rsidRPr="00D71470">
            <w:rPr>
              <w:szCs w:val="24"/>
            </w:rPr>
            <w:fldChar w:fldCharType="separate"/>
          </w:r>
          <w:r w:rsidR="00BC04B5" w:rsidRPr="00D71470">
            <w:rPr>
              <w:noProof/>
              <w:szCs w:val="24"/>
            </w:rPr>
            <w:t>[1]</w:t>
          </w:r>
          <w:r w:rsidR="003A16DD" w:rsidRPr="00D71470">
            <w:rPr>
              <w:szCs w:val="24"/>
            </w:rPr>
            <w:fldChar w:fldCharType="end"/>
          </w:r>
        </w:sdtContent>
      </w:sdt>
      <w:r w:rsidR="001550CD" w:rsidRPr="00D71470">
        <w:rPr>
          <w:szCs w:val="24"/>
        </w:rPr>
        <w:t>)</w:t>
      </w:r>
      <w:r w:rsidRPr="00D71470">
        <w:rPr>
          <w:szCs w:val="24"/>
        </w:rPr>
        <w:t>.</w:t>
      </w:r>
      <w:r w:rsidR="00F70EF5" w:rsidRPr="00D71470">
        <w:rPr>
          <w:szCs w:val="24"/>
        </w:rPr>
        <w:t xml:space="preserve"> O</w:t>
      </w:r>
      <w:r w:rsidR="00B216BF">
        <w:rPr>
          <w:szCs w:val="24"/>
        </w:rPr>
        <w:t>ur</w:t>
      </w:r>
      <w:r w:rsidR="00F70EF5" w:rsidRPr="00D71470">
        <w:rPr>
          <w:szCs w:val="24"/>
        </w:rPr>
        <w:t xml:space="preserve"> assessment is summarised in a Step 2 </w:t>
      </w:r>
      <w:r w:rsidR="00357CC4" w:rsidRPr="00D71470">
        <w:rPr>
          <w:szCs w:val="24"/>
        </w:rPr>
        <w:t>summary report</w:t>
      </w:r>
      <w:r w:rsidR="000E3A13" w:rsidRPr="00D71470">
        <w:rPr>
          <w:szCs w:val="24"/>
        </w:rPr>
        <w:t xml:space="preserve"> (ref. </w:t>
      </w:r>
      <w:sdt>
        <w:sdtPr>
          <w:rPr>
            <w:szCs w:val="24"/>
          </w:rPr>
          <w:id w:val="480963225"/>
          <w:citation/>
        </w:sdtPr>
        <w:sdtEndPr/>
        <w:sdtContent>
          <w:r w:rsidR="000E3A13" w:rsidRPr="00D71470">
            <w:rPr>
              <w:szCs w:val="24"/>
            </w:rPr>
            <w:fldChar w:fldCharType="begin"/>
          </w:r>
          <w:r w:rsidR="00EE4461" w:rsidRPr="00D71470">
            <w:rPr>
              <w:szCs w:val="24"/>
            </w:rPr>
            <w:instrText xml:space="preserve">CITATION PAR \l 2057 </w:instrText>
          </w:r>
          <w:r w:rsidR="000E3A13" w:rsidRPr="00D71470">
            <w:rPr>
              <w:szCs w:val="24"/>
            </w:rPr>
            <w:fldChar w:fldCharType="separate"/>
          </w:r>
          <w:r w:rsidR="00BC04B5" w:rsidRPr="00D71470">
            <w:rPr>
              <w:noProof/>
              <w:szCs w:val="24"/>
            </w:rPr>
            <w:t>[2]</w:t>
          </w:r>
          <w:r w:rsidR="000E3A13" w:rsidRPr="00D71470">
            <w:rPr>
              <w:szCs w:val="24"/>
            </w:rPr>
            <w:fldChar w:fldCharType="end"/>
          </w:r>
        </w:sdtContent>
      </w:sdt>
      <w:r w:rsidR="000E3A13" w:rsidRPr="00D71470">
        <w:rPr>
          <w:szCs w:val="24"/>
        </w:rPr>
        <w:t>)</w:t>
      </w:r>
      <w:r w:rsidR="00F70EF5" w:rsidRPr="00D71470">
        <w:rPr>
          <w:szCs w:val="24"/>
        </w:rPr>
        <w:t xml:space="preserve">. </w:t>
      </w:r>
    </w:p>
    <w:p w14:paraId="42F5E1A7" w14:textId="012F6327" w:rsidR="00E027FF" w:rsidRPr="00D71470" w:rsidRDefault="0030779F" w:rsidP="00E027FF">
      <w:pPr>
        <w:rPr>
          <w:rFonts w:ascii="Arial" w:hAnsi="Arial" w:cs="Arial"/>
          <w:b/>
          <w:bCs/>
          <w:sz w:val="24"/>
          <w:szCs w:val="24"/>
        </w:rPr>
      </w:pPr>
      <w:r w:rsidRPr="00D71470">
        <w:rPr>
          <w:rFonts w:ascii="Arial" w:hAnsi="Arial" w:cs="Arial"/>
          <w:b/>
          <w:bCs/>
          <w:sz w:val="24"/>
          <w:szCs w:val="24"/>
        </w:rPr>
        <w:t>Submissions</w:t>
      </w:r>
    </w:p>
    <w:p w14:paraId="6DDE91E4" w14:textId="215B3A19" w:rsidR="00E027FF" w:rsidRPr="00D71470" w:rsidRDefault="00E027FF" w:rsidP="00E027FF">
      <w:pPr>
        <w:rPr>
          <w:rFonts w:ascii="Arial" w:hAnsi="Arial" w:cs="Arial"/>
          <w:sz w:val="24"/>
          <w:szCs w:val="24"/>
        </w:rPr>
      </w:pPr>
      <w:r w:rsidRPr="00D71470">
        <w:rPr>
          <w:rFonts w:ascii="Arial" w:hAnsi="Arial" w:cs="Arial"/>
          <w:sz w:val="24"/>
          <w:szCs w:val="24"/>
        </w:rPr>
        <w:t xml:space="preserve">The submissions which </w:t>
      </w:r>
      <w:r w:rsidR="00AA1A91" w:rsidRPr="00D71470">
        <w:rPr>
          <w:rFonts w:ascii="Arial" w:hAnsi="Arial" w:cs="Arial"/>
          <w:sz w:val="24"/>
          <w:szCs w:val="24"/>
        </w:rPr>
        <w:t xml:space="preserve">formed the basis for </w:t>
      </w:r>
      <w:r w:rsidR="00F353EF">
        <w:rPr>
          <w:rFonts w:ascii="Arial" w:hAnsi="Arial" w:cs="Arial"/>
          <w:sz w:val="24"/>
          <w:szCs w:val="24"/>
        </w:rPr>
        <w:t>ONR’s</w:t>
      </w:r>
      <w:r w:rsidR="0030779F" w:rsidRPr="00D71470">
        <w:rPr>
          <w:rFonts w:ascii="Arial" w:hAnsi="Arial" w:cs="Arial"/>
          <w:sz w:val="24"/>
          <w:szCs w:val="24"/>
        </w:rPr>
        <w:t xml:space="preserve"> </w:t>
      </w:r>
      <w:r w:rsidR="0084651F" w:rsidRPr="00D71470">
        <w:rPr>
          <w:rFonts w:ascii="Arial" w:hAnsi="Arial" w:cs="Arial"/>
          <w:sz w:val="24"/>
          <w:szCs w:val="24"/>
        </w:rPr>
        <w:t>assessment</w:t>
      </w:r>
      <w:r w:rsidRPr="00D71470">
        <w:rPr>
          <w:rFonts w:ascii="Arial" w:hAnsi="Arial" w:cs="Arial"/>
          <w:sz w:val="24"/>
          <w:szCs w:val="24"/>
        </w:rPr>
        <w:t xml:space="preserve"> are recorded in the Master Document Submission list </w:t>
      </w:r>
      <w:r w:rsidR="00EE4461" w:rsidRPr="00D71470">
        <w:rPr>
          <w:rFonts w:ascii="Arial" w:hAnsi="Arial" w:cs="Arial"/>
          <w:sz w:val="24"/>
          <w:szCs w:val="24"/>
        </w:rPr>
        <w:t xml:space="preserve">(ref. </w:t>
      </w:r>
      <w:sdt>
        <w:sdtPr>
          <w:rPr>
            <w:rFonts w:ascii="Arial" w:hAnsi="Arial" w:cs="Arial"/>
            <w:sz w:val="24"/>
            <w:szCs w:val="24"/>
          </w:rPr>
          <w:id w:val="402876889"/>
          <w:citation/>
        </w:sdtPr>
        <w:sdtEndPr/>
        <w:sdtContent>
          <w:r w:rsidR="00EE4461" w:rsidRPr="00D71470">
            <w:rPr>
              <w:rFonts w:ascii="Arial" w:hAnsi="Arial" w:cs="Arial"/>
              <w:sz w:val="24"/>
              <w:szCs w:val="24"/>
            </w:rPr>
            <w:fldChar w:fldCharType="begin"/>
          </w:r>
          <w:r w:rsidR="00EE4461" w:rsidRPr="00D71470">
            <w:rPr>
              <w:rFonts w:ascii="Arial" w:hAnsi="Arial" w:cs="Arial"/>
              <w:sz w:val="24"/>
              <w:szCs w:val="24"/>
            </w:rPr>
            <w:instrText xml:space="preserve"> CITATION MDSL \l 2057 </w:instrText>
          </w:r>
          <w:r w:rsidR="00EE4461" w:rsidRPr="00D71470">
            <w:rPr>
              <w:rFonts w:ascii="Arial" w:hAnsi="Arial" w:cs="Arial"/>
              <w:sz w:val="24"/>
              <w:szCs w:val="24"/>
            </w:rPr>
            <w:fldChar w:fldCharType="separate"/>
          </w:r>
          <w:r w:rsidR="00BC04B5" w:rsidRPr="00D71470">
            <w:rPr>
              <w:rFonts w:ascii="Arial" w:hAnsi="Arial" w:cs="Arial"/>
              <w:noProof/>
              <w:sz w:val="24"/>
              <w:szCs w:val="24"/>
            </w:rPr>
            <w:t>[3]</w:t>
          </w:r>
          <w:r w:rsidR="00EE4461" w:rsidRPr="00D71470">
            <w:rPr>
              <w:rFonts w:ascii="Arial" w:hAnsi="Arial" w:cs="Arial"/>
              <w:sz w:val="24"/>
              <w:szCs w:val="24"/>
            </w:rPr>
            <w:fldChar w:fldCharType="end"/>
          </w:r>
        </w:sdtContent>
      </w:sdt>
      <w:r w:rsidR="00EE4461" w:rsidRPr="00D71470">
        <w:rPr>
          <w:rFonts w:ascii="Arial" w:hAnsi="Arial" w:cs="Arial"/>
          <w:sz w:val="24"/>
          <w:szCs w:val="24"/>
        </w:rPr>
        <w:t>)</w:t>
      </w:r>
      <w:r w:rsidRPr="00D71470">
        <w:rPr>
          <w:rFonts w:ascii="Arial" w:hAnsi="Arial" w:cs="Arial"/>
          <w:sz w:val="24"/>
          <w:szCs w:val="24"/>
        </w:rPr>
        <w:t xml:space="preserve">. </w:t>
      </w:r>
      <w:r w:rsidR="00B047C2" w:rsidRPr="00D71470">
        <w:rPr>
          <w:rFonts w:ascii="Arial" w:hAnsi="Arial" w:cs="Arial"/>
          <w:sz w:val="24"/>
          <w:szCs w:val="24"/>
        </w:rPr>
        <w:t xml:space="preserve">The RP’s Environment, Safety, Security and Safeguards (E3S) case is </w:t>
      </w:r>
      <w:r w:rsidRPr="00D71470">
        <w:rPr>
          <w:rFonts w:ascii="Arial" w:hAnsi="Arial" w:cs="Arial"/>
          <w:sz w:val="24"/>
          <w:szCs w:val="24"/>
        </w:rPr>
        <w:t xml:space="preserve">at </w:t>
      </w:r>
      <w:r w:rsidR="009832B4" w:rsidRPr="00D71470">
        <w:rPr>
          <w:rFonts w:ascii="Arial" w:hAnsi="Arial" w:cs="Arial"/>
          <w:sz w:val="24"/>
          <w:szCs w:val="24"/>
        </w:rPr>
        <w:t>V</w:t>
      </w:r>
      <w:r w:rsidRPr="00D71470">
        <w:rPr>
          <w:rFonts w:ascii="Arial" w:hAnsi="Arial" w:cs="Arial"/>
          <w:sz w:val="24"/>
          <w:szCs w:val="24"/>
        </w:rPr>
        <w:t xml:space="preserve">ersion </w:t>
      </w:r>
      <w:r w:rsidR="00294E09" w:rsidRPr="00D71470">
        <w:rPr>
          <w:rFonts w:ascii="Arial" w:hAnsi="Arial" w:cs="Arial"/>
          <w:sz w:val="24"/>
          <w:szCs w:val="24"/>
        </w:rPr>
        <w:t>2</w:t>
      </w:r>
      <w:r w:rsidRPr="00D71470">
        <w:rPr>
          <w:rFonts w:ascii="Arial" w:hAnsi="Arial" w:cs="Arial"/>
          <w:sz w:val="24"/>
          <w:szCs w:val="24"/>
        </w:rPr>
        <w:t xml:space="preserve"> and summarise</w:t>
      </w:r>
      <w:r w:rsidR="00B047C2" w:rsidRPr="00D71470">
        <w:rPr>
          <w:rFonts w:ascii="Arial" w:hAnsi="Arial" w:cs="Arial"/>
          <w:sz w:val="24"/>
          <w:szCs w:val="24"/>
        </w:rPr>
        <w:t>s</w:t>
      </w:r>
      <w:r w:rsidRPr="00D71470">
        <w:rPr>
          <w:rFonts w:ascii="Arial" w:hAnsi="Arial" w:cs="Arial"/>
          <w:sz w:val="24"/>
          <w:szCs w:val="24"/>
        </w:rPr>
        <w:t xml:space="preserve"> the information that has been submitted to ONR to date. </w:t>
      </w:r>
    </w:p>
    <w:p w14:paraId="0E8FC9F2" w14:textId="74876DDC" w:rsidR="00E027FF" w:rsidRPr="00D71470" w:rsidRDefault="00E027FF" w:rsidP="00E027FF">
      <w:pPr>
        <w:rPr>
          <w:rFonts w:ascii="Arial" w:hAnsi="Arial" w:cs="Arial"/>
          <w:b/>
          <w:bCs/>
          <w:sz w:val="24"/>
          <w:szCs w:val="24"/>
        </w:rPr>
      </w:pPr>
      <w:r w:rsidRPr="00D71470">
        <w:rPr>
          <w:rFonts w:ascii="Arial" w:hAnsi="Arial" w:cs="Arial"/>
          <w:b/>
          <w:bCs/>
          <w:sz w:val="24"/>
          <w:szCs w:val="24"/>
        </w:rPr>
        <w:t xml:space="preserve">Design </w:t>
      </w:r>
      <w:r w:rsidR="008D5CAE" w:rsidRPr="00D71470">
        <w:rPr>
          <w:rFonts w:ascii="Arial" w:hAnsi="Arial" w:cs="Arial"/>
          <w:b/>
          <w:bCs/>
          <w:sz w:val="24"/>
          <w:szCs w:val="24"/>
        </w:rPr>
        <w:t>maturity</w:t>
      </w:r>
    </w:p>
    <w:p w14:paraId="51882F95" w14:textId="1399817C" w:rsidR="00E027FF" w:rsidRPr="00D71470" w:rsidRDefault="000B3B08" w:rsidP="00996EB7">
      <w:pPr>
        <w:rPr>
          <w:rFonts w:ascii="Arial" w:hAnsi="Arial" w:cs="Arial"/>
          <w:sz w:val="24"/>
          <w:szCs w:val="24"/>
        </w:rPr>
      </w:pPr>
      <w:r w:rsidRPr="00D71470">
        <w:rPr>
          <w:rFonts w:ascii="Arial" w:hAnsi="Arial" w:cs="Arial"/>
          <w:sz w:val="24"/>
          <w:szCs w:val="24"/>
        </w:rPr>
        <w:t xml:space="preserve">The Rolls-Royce SMR design is defined within the Design Reference </w:t>
      </w:r>
      <w:r w:rsidR="004170BC" w:rsidRPr="00D71470">
        <w:rPr>
          <w:rFonts w:ascii="Arial" w:hAnsi="Arial" w:cs="Arial"/>
          <w:sz w:val="24"/>
          <w:szCs w:val="24"/>
        </w:rPr>
        <w:t xml:space="preserve">report </w:t>
      </w:r>
      <w:r w:rsidR="00EE4461" w:rsidRPr="00D71470">
        <w:rPr>
          <w:rFonts w:ascii="Arial" w:hAnsi="Arial" w:cs="Arial"/>
          <w:sz w:val="24"/>
          <w:szCs w:val="24"/>
        </w:rPr>
        <w:t xml:space="preserve">(ref. </w:t>
      </w:r>
      <w:sdt>
        <w:sdtPr>
          <w:rPr>
            <w:rFonts w:ascii="Arial" w:hAnsi="Arial" w:cs="Arial"/>
            <w:sz w:val="24"/>
            <w:szCs w:val="24"/>
          </w:rPr>
          <w:id w:val="-1421025486"/>
          <w:citation/>
        </w:sdtPr>
        <w:sdtEndPr/>
        <w:sdtContent>
          <w:r w:rsidR="008D36E6" w:rsidRPr="00D71470">
            <w:rPr>
              <w:rFonts w:ascii="Arial" w:hAnsi="Arial" w:cs="Arial"/>
              <w:sz w:val="24"/>
              <w:szCs w:val="24"/>
            </w:rPr>
            <w:fldChar w:fldCharType="begin"/>
          </w:r>
          <w:r w:rsidR="000574B3" w:rsidRPr="00D71470">
            <w:rPr>
              <w:rFonts w:ascii="Arial" w:hAnsi="Arial" w:cs="Arial"/>
              <w:sz w:val="24"/>
              <w:szCs w:val="24"/>
            </w:rPr>
            <w:instrText xml:space="preserve">CITATION DRP1 \l 2057 </w:instrText>
          </w:r>
          <w:r w:rsidR="008D36E6" w:rsidRPr="00D71470">
            <w:rPr>
              <w:rFonts w:ascii="Arial" w:hAnsi="Arial" w:cs="Arial"/>
              <w:sz w:val="24"/>
              <w:szCs w:val="24"/>
            </w:rPr>
            <w:fldChar w:fldCharType="separate"/>
          </w:r>
          <w:r w:rsidR="00BC04B5" w:rsidRPr="00D71470">
            <w:rPr>
              <w:rFonts w:ascii="Arial" w:hAnsi="Arial" w:cs="Arial"/>
              <w:noProof/>
              <w:sz w:val="24"/>
              <w:szCs w:val="24"/>
            </w:rPr>
            <w:t>[4]</w:t>
          </w:r>
          <w:r w:rsidR="008D36E6" w:rsidRPr="00D71470">
            <w:rPr>
              <w:rFonts w:ascii="Arial" w:hAnsi="Arial" w:cs="Arial"/>
              <w:sz w:val="24"/>
              <w:szCs w:val="24"/>
            </w:rPr>
            <w:fldChar w:fldCharType="end"/>
          </w:r>
        </w:sdtContent>
      </w:sdt>
      <w:r w:rsidR="00EE4461" w:rsidRPr="00D71470">
        <w:rPr>
          <w:rFonts w:ascii="Arial" w:hAnsi="Arial" w:cs="Arial"/>
          <w:sz w:val="24"/>
          <w:szCs w:val="24"/>
        </w:rPr>
        <w:t>)</w:t>
      </w:r>
      <w:r w:rsidRPr="00D71470">
        <w:rPr>
          <w:rFonts w:ascii="Arial" w:hAnsi="Arial" w:cs="Arial"/>
          <w:sz w:val="24"/>
          <w:szCs w:val="24"/>
        </w:rPr>
        <w:t xml:space="preserve">. </w:t>
      </w:r>
      <w:r w:rsidR="00FD0252" w:rsidRPr="00D71470">
        <w:rPr>
          <w:rFonts w:ascii="Arial" w:hAnsi="Arial" w:cs="Arial"/>
          <w:sz w:val="24"/>
          <w:szCs w:val="24"/>
        </w:rPr>
        <w:t xml:space="preserve">The majority of Systems, Structures and Components (SSCs) have reached sufficient maturity to </w:t>
      </w:r>
      <w:r w:rsidR="00AE39E4" w:rsidRPr="00D71470">
        <w:rPr>
          <w:rFonts w:ascii="Arial" w:hAnsi="Arial" w:cs="Arial"/>
          <w:sz w:val="24"/>
          <w:szCs w:val="24"/>
        </w:rPr>
        <w:t>define</w:t>
      </w:r>
      <w:r w:rsidR="00A1173A" w:rsidRPr="00D71470">
        <w:rPr>
          <w:rFonts w:ascii="Arial" w:hAnsi="Arial" w:cs="Arial"/>
          <w:sz w:val="24"/>
          <w:szCs w:val="24"/>
        </w:rPr>
        <w:t xml:space="preserve"> the</w:t>
      </w:r>
      <w:r w:rsidR="000B04D8" w:rsidRPr="00D71470">
        <w:rPr>
          <w:rFonts w:ascii="Arial" w:hAnsi="Arial" w:cs="Arial"/>
          <w:sz w:val="24"/>
          <w:szCs w:val="24"/>
        </w:rPr>
        <w:t xml:space="preserve"> baseline design </w:t>
      </w:r>
      <w:r w:rsidR="00A1173A" w:rsidRPr="00D71470">
        <w:rPr>
          <w:rFonts w:ascii="Arial" w:hAnsi="Arial" w:cs="Arial"/>
          <w:sz w:val="24"/>
          <w:szCs w:val="24"/>
        </w:rPr>
        <w:t xml:space="preserve">for </w:t>
      </w:r>
      <w:r w:rsidR="00FD0252" w:rsidRPr="00D71470">
        <w:rPr>
          <w:rFonts w:ascii="Arial" w:hAnsi="Arial" w:cs="Arial"/>
          <w:sz w:val="24"/>
          <w:szCs w:val="24"/>
        </w:rPr>
        <w:t>inclu</w:t>
      </w:r>
      <w:r w:rsidR="00A1173A" w:rsidRPr="00D71470">
        <w:rPr>
          <w:rFonts w:ascii="Arial" w:hAnsi="Arial" w:cs="Arial"/>
          <w:sz w:val="24"/>
          <w:szCs w:val="24"/>
        </w:rPr>
        <w:t xml:space="preserve">sion </w:t>
      </w:r>
      <w:r w:rsidR="00FD0252" w:rsidRPr="00D71470">
        <w:rPr>
          <w:rFonts w:ascii="Arial" w:hAnsi="Arial" w:cs="Arial"/>
          <w:sz w:val="24"/>
          <w:szCs w:val="24"/>
        </w:rPr>
        <w:t>in the design reference</w:t>
      </w:r>
      <w:r w:rsidR="000B04D8" w:rsidRPr="00D71470">
        <w:rPr>
          <w:rFonts w:ascii="Arial" w:hAnsi="Arial" w:cs="Arial"/>
          <w:sz w:val="24"/>
          <w:szCs w:val="24"/>
        </w:rPr>
        <w:t xml:space="preserve">. </w:t>
      </w:r>
      <w:r w:rsidR="00040E4F" w:rsidRPr="00D71470">
        <w:rPr>
          <w:rFonts w:ascii="Arial" w:hAnsi="Arial" w:cs="Arial"/>
          <w:sz w:val="24"/>
          <w:szCs w:val="24"/>
        </w:rPr>
        <w:t xml:space="preserve">Further </w:t>
      </w:r>
      <w:r w:rsidR="00FB04FA">
        <w:rPr>
          <w:rFonts w:ascii="Arial" w:hAnsi="Arial" w:cs="Arial"/>
          <w:sz w:val="24"/>
          <w:szCs w:val="24"/>
        </w:rPr>
        <w:t xml:space="preserve">E3S submissions will need to include a completed list of </w:t>
      </w:r>
      <w:r w:rsidR="00040E4F" w:rsidRPr="00D71470">
        <w:rPr>
          <w:rFonts w:ascii="Arial" w:hAnsi="Arial" w:cs="Arial"/>
          <w:sz w:val="24"/>
          <w:szCs w:val="24"/>
        </w:rPr>
        <w:t>functional and non-functional requirements and demonstrate they are met by the design.</w:t>
      </w:r>
    </w:p>
    <w:p w14:paraId="2ACCCA04" w14:textId="77777777" w:rsidR="00BC58BF" w:rsidRPr="00D71470" w:rsidRDefault="00BC58BF" w:rsidP="00BC58BF">
      <w:pPr>
        <w:rPr>
          <w:rFonts w:ascii="Arial" w:hAnsi="Arial" w:cs="Arial"/>
          <w:b/>
          <w:bCs/>
          <w:sz w:val="24"/>
          <w:szCs w:val="24"/>
        </w:rPr>
      </w:pPr>
      <w:r w:rsidRPr="00D71470">
        <w:rPr>
          <w:rFonts w:ascii="Arial" w:hAnsi="Arial" w:cs="Arial"/>
          <w:b/>
          <w:bCs/>
          <w:sz w:val="24"/>
          <w:szCs w:val="24"/>
        </w:rPr>
        <w:t>Scope</w:t>
      </w:r>
    </w:p>
    <w:p w14:paraId="4EF86606" w14:textId="2CCAAD13" w:rsidR="00F96825" w:rsidRPr="00D71470" w:rsidRDefault="00BC58BF" w:rsidP="00BC58BF">
      <w:pPr>
        <w:pStyle w:val="Numberedparagraph"/>
        <w:numPr>
          <w:ilvl w:val="0"/>
          <w:numId w:val="0"/>
        </w:numPr>
        <w:rPr>
          <w:szCs w:val="24"/>
        </w:rPr>
      </w:pPr>
      <w:r w:rsidRPr="00D71470">
        <w:rPr>
          <w:szCs w:val="24"/>
        </w:rPr>
        <w:t xml:space="preserve">The </w:t>
      </w:r>
      <w:r w:rsidR="00F95B97" w:rsidRPr="00D71470">
        <w:rPr>
          <w:szCs w:val="24"/>
        </w:rPr>
        <w:t xml:space="preserve">assessment </w:t>
      </w:r>
      <w:r w:rsidR="000771A0" w:rsidRPr="00D71470">
        <w:rPr>
          <w:szCs w:val="24"/>
        </w:rPr>
        <w:t>wa</w:t>
      </w:r>
      <w:r w:rsidR="00F95B97" w:rsidRPr="00D71470">
        <w:rPr>
          <w:szCs w:val="24"/>
        </w:rPr>
        <w:t>s against</w:t>
      </w:r>
      <w:r w:rsidRPr="00D71470">
        <w:rPr>
          <w:szCs w:val="24"/>
        </w:rPr>
        <w:t xml:space="preserve"> the GDA scope </w:t>
      </w:r>
      <w:r w:rsidR="00441ACB" w:rsidRPr="00D71470">
        <w:rPr>
          <w:szCs w:val="24"/>
        </w:rPr>
        <w:t xml:space="preserve">(ref. </w:t>
      </w:r>
      <w:sdt>
        <w:sdtPr>
          <w:rPr>
            <w:szCs w:val="24"/>
          </w:rPr>
          <w:id w:val="-531968247"/>
          <w:citation/>
        </w:sdtPr>
        <w:sdtEndPr/>
        <w:sdtContent>
          <w:r w:rsidR="004F1290" w:rsidRPr="00D71470">
            <w:rPr>
              <w:szCs w:val="24"/>
            </w:rPr>
            <w:fldChar w:fldCharType="begin"/>
          </w:r>
          <w:r w:rsidR="004F1290" w:rsidRPr="00D71470">
            <w:rPr>
              <w:szCs w:val="24"/>
            </w:rPr>
            <w:instrText xml:space="preserve"> CITATION GDAScope \l 2057 </w:instrText>
          </w:r>
          <w:r w:rsidR="004F1290" w:rsidRPr="00D71470">
            <w:rPr>
              <w:szCs w:val="24"/>
            </w:rPr>
            <w:fldChar w:fldCharType="separate"/>
          </w:r>
          <w:r w:rsidR="00BC04B5" w:rsidRPr="00D71470">
            <w:rPr>
              <w:noProof/>
              <w:szCs w:val="24"/>
            </w:rPr>
            <w:t>[5]</w:t>
          </w:r>
          <w:r w:rsidR="004F1290" w:rsidRPr="00D71470">
            <w:rPr>
              <w:szCs w:val="24"/>
            </w:rPr>
            <w:fldChar w:fldCharType="end"/>
          </w:r>
        </w:sdtContent>
      </w:sdt>
      <w:r w:rsidR="00441ACB" w:rsidRPr="00D71470">
        <w:rPr>
          <w:szCs w:val="24"/>
        </w:rPr>
        <w:t>)</w:t>
      </w:r>
      <w:r w:rsidR="004A1F1A" w:rsidRPr="00D71470">
        <w:rPr>
          <w:szCs w:val="24"/>
        </w:rPr>
        <w:t xml:space="preserve"> </w:t>
      </w:r>
      <w:r w:rsidRPr="00D71470">
        <w:rPr>
          <w:szCs w:val="24"/>
        </w:rPr>
        <w:t xml:space="preserve">which has been agreed between the RP and </w:t>
      </w:r>
      <w:r w:rsidR="00B8495A">
        <w:rPr>
          <w:szCs w:val="24"/>
        </w:rPr>
        <w:t>ONR</w:t>
      </w:r>
      <w:r w:rsidRPr="00D71470">
        <w:rPr>
          <w:szCs w:val="24"/>
        </w:rPr>
        <w:t xml:space="preserve">. </w:t>
      </w:r>
    </w:p>
    <w:p w14:paraId="0D6EBCCC" w14:textId="71396A48" w:rsidR="00BC58BF" w:rsidRPr="00D71470" w:rsidRDefault="00BC58BF" w:rsidP="00BC58BF">
      <w:pPr>
        <w:pStyle w:val="Numberedparagraph"/>
        <w:numPr>
          <w:ilvl w:val="0"/>
          <w:numId w:val="0"/>
        </w:numPr>
        <w:rPr>
          <w:szCs w:val="24"/>
        </w:rPr>
      </w:pPr>
      <w:r w:rsidRPr="00D71470">
        <w:rPr>
          <w:szCs w:val="24"/>
        </w:rPr>
        <w:t>The RP intends to complete a three</w:t>
      </w:r>
      <w:r w:rsidR="006165AC">
        <w:rPr>
          <w:szCs w:val="24"/>
        </w:rPr>
        <w:t>-</w:t>
      </w:r>
      <w:r w:rsidRPr="00D71470">
        <w:rPr>
          <w:szCs w:val="24"/>
        </w:rPr>
        <w:t xml:space="preserve">step GDA, with the objective of receiving a DAC from ONR and </w:t>
      </w:r>
      <w:r w:rsidR="00D85485">
        <w:rPr>
          <w:szCs w:val="24"/>
        </w:rPr>
        <w:t>has</w:t>
      </w:r>
      <w:r w:rsidR="00D85485" w:rsidRPr="00D71470">
        <w:rPr>
          <w:szCs w:val="24"/>
        </w:rPr>
        <w:t xml:space="preserve"> </w:t>
      </w:r>
      <w:r w:rsidRPr="00D71470">
        <w:rPr>
          <w:szCs w:val="24"/>
        </w:rPr>
        <w:t xml:space="preserve">aligned </w:t>
      </w:r>
      <w:r w:rsidR="006165AC">
        <w:rPr>
          <w:szCs w:val="24"/>
        </w:rPr>
        <w:t>its</w:t>
      </w:r>
      <w:r w:rsidR="006165AC" w:rsidRPr="00D71470">
        <w:rPr>
          <w:szCs w:val="24"/>
        </w:rPr>
        <w:t xml:space="preserve"> </w:t>
      </w:r>
      <w:r w:rsidRPr="00D71470">
        <w:rPr>
          <w:szCs w:val="24"/>
        </w:rPr>
        <w:t xml:space="preserve">GDA scope with this objective. The GDA scope defines the generic plant and layout and includes all </w:t>
      </w:r>
      <w:r w:rsidR="00B15002" w:rsidRPr="00D71470">
        <w:rPr>
          <w:szCs w:val="24"/>
        </w:rPr>
        <w:t>SSCs</w:t>
      </w:r>
      <w:r w:rsidRPr="00D71470">
        <w:rPr>
          <w:szCs w:val="24"/>
        </w:rPr>
        <w:t xml:space="preserve"> that are identified as being important to safety, security and safeguards, all modes of operation, and all stages of the plant lifecycle. </w:t>
      </w:r>
    </w:p>
    <w:p w14:paraId="2DBFDF25" w14:textId="2B3A9FC1" w:rsidR="008C4869" w:rsidRPr="00D71470" w:rsidRDefault="00B15002" w:rsidP="006B6628">
      <w:pPr>
        <w:pStyle w:val="Numberedparagraph"/>
        <w:numPr>
          <w:ilvl w:val="0"/>
          <w:numId w:val="0"/>
        </w:numPr>
        <w:rPr>
          <w:szCs w:val="24"/>
        </w:rPr>
      </w:pPr>
      <w:r w:rsidRPr="00D71470">
        <w:rPr>
          <w:szCs w:val="24"/>
        </w:rPr>
        <w:t>S</w:t>
      </w:r>
      <w:r w:rsidR="00D33DE2" w:rsidRPr="00D71470">
        <w:rPr>
          <w:szCs w:val="24"/>
        </w:rPr>
        <w:t xml:space="preserve">ome </w:t>
      </w:r>
      <w:r w:rsidR="009F56B6">
        <w:rPr>
          <w:szCs w:val="24"/>
        </w:rPr>
        <w:t xml:space="preserve">areas of future regulatory </w:t>
      </w:r>
      <w:r w:rsidR="00112D02">
        <w:rPr>
          <w:szCs w:val="24"/>
        </w:rPr>
        <w:t>interest</w:t>
      </w:r>
      <w:r w:rsidR="009F56B6">
        <w:rPr>
          <w:szCs w:val="24"/>
        </w:rPr>
        <w:t xml:space="preserve"> to ONR</w:t>
      </w:r>
      <w:r w:rsidR="00112D02">
        <w:rPr>
          <w:szCs w:val="24"/>
        </w:rPr>
        <w:t xml:space="preserve"> </w:t>
      </w:r>
      <w:r w:rsidRPr="00D71470">
        <w:rPr>
          <w:szCs w:val="24"/>
        </w:rPr>
        <w:t>are</w:t>
      </w:r>
      <w:r w:rsidR="00757036" w:rsidRPr="00D71470">
        <w:rPr>
          <w:szCs w:val="24"/>
        </w:rPr>
        <w:t xml:space="preserve"> declared as</w:t>
      </w:r>
      <w:r w:rsidR="00D33DE2" w:rsidRPr="00D71470">
        <w:rPr>
          <w:szCs w:val="24"/>
        </w:rPr>
        <w:t xml:space="preserve"> out of scope for GDA</w:t>
      </w:r>
      <w:r w:rsidR="00EE2BFB" w:rsidRPr="00D71470">
        <w:rPr>
          <w:szCs w:val="24"/>
        </w:rPr>
        <w:t>. These are largely operator or site</w:t>
      </w:r>
      <w:r w:rsidR="009B65D9">
        <w:rPr>
          <w:szCs w:val="24"/>
        </w:rPr>
        <w:t>-</w:t>
      </w:r>
      <w:r w:rsidR="00EE2BFB" w:rsidRPr="00D71470">
        <w:rPr>
          <w:szCs w:val="24"/>
        </w:rPr>
        <w:t xml:space="preserve">specific matters that </w:t>
      </w:r>
      <w:r w:rsidR="00E7698C">
        <w:rPr>
          <w:szCs w:val="24"/>
        </w:rPr>
        <w:t>are not</w:t>
      </w:r>
      <w:r w:rsidR="00F96825" w:rsidRPr="00D71470">
        <w:rPr>
          <w:szCs w:val="24"/>
        </w:rPr>
        <w:t xml:space="preserve"> expect</w:t>
      </w:r>
      <w:r w:rsidR="00E7698C">
        <w:rPr>
          <w:szCs w:val="24"/>
        </w:rPr>
        <w:t>ed</w:t>
      </w:r>
      <w:r w:rsidR="00F96825" w:rsidRPr="00D71470">
        <w:rPr>
          <w:szCs w:val="24"/>
        </w:rPr>
        <w:t xml:space="preserve"> to be included in </w:t>
      </w:r>
      <w:r w:rsidR="00F55A3E">
        <w:rPr>
          <w:szCs w:val="24"/>
        </w:rPr>
        <w:t xml:space="preserve">any </w:t>
      </w:r>
      <w:r w:rsidR="00F96825" w:rsidRPr="00D71470">
        <w:rPr>
          <w:szCs w:val="24"/>
        </w:rPr>
        <w:t xml:space="preserve">GDA. </w:t>
      </w:r>
      <w:r w:rsidR="00150151" w:rsidRPr="00150151">
        <w:rPr>
          <w:szCs w:val="24"/>
        </w:rPr>
        <w:t xml:space="preserve">In addition, specific to the Rolls-Royce SMR design, </w:t>
      </w:r>
      <w:r w:rsidR="00526860">
        <w:rPr>
          <w:szCs w:val="24"/>
        </w:rPr>
        <w:t xml:space="preserve">the </w:t>
      </w:r>
      <w:r w:rsidR="00150151" w:rsidRPr="00150151">
        <w:rPr>
          <w:szCs w:val="24"/>
        </w:rPr>
        <w:t xml:space="preserve">off-site factories used to produce modular components, the transport of </w:t>
      </w:r>
      <w:r w:rsidR="00526860">
        <w:rPr>
          <w:szCs w:val="24"/>
        </w:rPr>
        <w:t xml:space="preserve">such </w:t>
      </w:r>
      <w:r w:rsidR="00150151" w:rsidRPr="00150151">
        <w:rPr>
          <w:szCs w:val="24"/>
        </w:rPr>
        <w:t>modules to site, and construction of modules on the site are out of scope of this GDA</w:t>
      </w:r>
      <w:r w:rsidR="00526860">
        <w:rPr>
          <w:szCs w:val="24"/>
        </w:rPr>
        <w:t>.</w:t>
      </w:r>
      <w:r w:rsidR="0046565A" w:rsidRPr="00D71470">
        <w:rPr>
          <w:szCs w:val="24"/>
        </w:rPr>
        <w:t xml:space="preserve"> </w:t>
      </w:r>
    </w:p>
    <w:p w14:paraId="205E11FC" w14:textId="23CC61A5" w:rsidR="007E7B5D" w:rsidRPr="00D71470" w:rsidRDefault="00084C8D" w:rsidP="007E7B5D">
      <w:pPr>
        <w:rPr>
          <w:rFonts w:ascii="Arial" w:hAnsi="Arial" w:cs="Arial"/>
          <w:sz w:val="24"/>
          <w:szCs w:val="24"/>
        </w:rPr>
      </w:pPr>
      <w:r>
        <w:rPr>
          <w:rFonts w:ascii="Arial" w:hAnsi="Arial" w:cs="Arial"/>
          <w:sz w:val="24"/>
          <w:szCs w:val="24"/>
        </w:rPr>
        <w:t>We have</w:t>
      </w:r>
      <w:r w:rsidR="007E7B5D" w:rsidRPr="00D71470">
        <w:rPr>
          <w:rFonts w:ascii="Arial" w:hAnsi="Arial" w:cs="Arial"/>
          <w:sz w:val="24"/>
          <w:szCs w:val="24"/>
        </w:rPr>
        <w:t xml:space="preserve"> assessed submissions made across </w:t>
      </w:r>
      <w:r w:rsidR="006840A6" w:rsidRPr="00D71470">
        <w:rPr>
          <w:rFonts w:ascii="Arial" w:hAnsi="Arial" w:cs="Arial"/>
          <w:sz w:val="24"/>
          <w:szCs w:val="24"/>
        </w:rPr>
        <w:t xml:space="preserve">21 topics, covering all of our </w:t>
      </w:r>
      <w:r w:rsidR="004E2FE1" w:rsidRPr="00D71470">
        <w:rPr>
          <w:rFonts w:ascii="Arial" w:hAnsi="Arial" w:cs="Arial"/>
          <w:sz w:val="24"/>
          <w:szCs w:val="24"/>
        </w:rPr>
        <w:t xml:space="preserve">statutory </w:t>
      </w:r>
      <w:r w:rsidR="006840A6" w:rsidRPr="00D71470">
        <w:rPr>
          <w:rFonts w:ascii="Arial" w:hAnsi="Arial" w:cs="Arial"/>
          <w:sz w:val="24"/>
          <w:szCs w:val="24"/>
        </w:rPr>
        <w:t>purposes</w:t>
      </w:r>
      <w:r w:rsidR="004E2FE1" w:rsidRPr="00D71470">
        <w:rPr>
          <w:rFonts w:ascii="Arial" w:hAnsi="Arial" w:cs="Arial"/>
          <w:sz w:val="24"/>
          <w:szCs w:val="24"/>
        </w:rPr>
        <w:t xml:space="preserve"> relevant to GDA</w:t>
      </w:r>
      <w:r w:rsidR="007E7B5D" w:rsidRPr="00D71470">
        <w:rPr>
          <w:rFonts w:ascii="Arial" w:hAnsi="Arial" w:cs="Arial"/>
          <w:sz w:val="24"/>
          <w:szCs w:val="24"/>
        </w:rPr>
        <w:t xml:space="preserve">. </w:t>
      </w:r>
    </w:p>
    <w:p w14:paraId="6C4D9135" w14:textId="03652894" w:rsidR="00BC58BF" w:rsidRPr="00D71470" w:rsidRDefault="00771617" w:rsidP="00BC58BF">
      <w:pPr>
        <w:rPr>
          <w:rFonts w:ascii="Arial" w:hAnsi="Arial" w:cs="Arial"/>
          <w:sz w:val="24"/>
          <w:szCs w:val="24"/>
        </w:rPr>
      </w:pPr>
      <w:r w:rsidRPr="00D71470">
        <w:rPr>
          <w:rFonts w:ascii="Arial" w:hAnsi="Arial" w:cs="Arial"/>
          <w:sz w:val="24"/>
          <w:szCs w:val="24"/>
        </w:rPr>
        <w:lastRenderedPageBreak/>
        <w:t>G</w:t>
      </w:r>
      <w:r w:rsidR="00BC58BF" w:rsidRPr="00D71470">
        <w:rPr>
          <w:rFonts w:ascii="Arial" w:hAnsi="Arial" w:cs="Arial"/>
          <w:sz w:val="24"/>
          <w:szCs w:val="24"/>
        </w:rPr>
        <w:t xml:space="preserve">ive the step-wise assessment during GDA, information </w:t>
      </w:r>
      <w:r w:rsidR="002A51D2" w:rsidRPr="00D71470">
        <w:rPr>
          <w:rFonts w:ascii="Arial" w:hAnsi="Arial" w:cs="Arial"/>
          <w:sz w:val="24"/>
          <w:szCs w:val="24"/>
        </w:rPr>
        <w:t xml:space="preserve">was </w:t>
      </w:r>
      <w:r w:rsidR="00BC58BF" w:rsidRPr="00D71470">
        <w:rPr>
          <w:rFonts w:ascii="Arial" w:hAnsi="Arial" w:cs="Arial"/>
          <w:sz w:val="24"/>
          <w:szCs w:val="24"/>
        </w:rPr>
        <w:t xml:space="preserve">not </w:t>
      </w:r>
      <w:r w:rsidR="00723055" w:rsidRPr="00D71470">
        <w:rPr>
          <w:rFonts w:ascii="Arial" w:hAnsi="Arial" w:cs="Arial"/>
          <w:sz w:val="24"/>
          <w:szCs w:val="24"/>
        </w:rPr>
        <w:t xml:space="preserve">available </w:t>
      </w:r>
      <w:r w:rsidR="00BC58BF" w:rsidRPr="00D71470">
        <w:rPr>
          <w:rFonts w:ascii="Arial" w:hAnsi="Arial" w:cs="Arial"/>
          <w:sz w:val="24"/>
          <w:szCs w:val="24"/>
        </w:rPr>
        <w:t xml:space="preserve">for all aspects within the GDA </w:t>
      </w:r>
      <w:r w:rsidR="003D163F">
        <w:rPr>
          <w:rFonts w:ascii="Arial" w:hAnsi="Arial" w:cs="Arial"/>
          <w:sz w:val="24"/>
          <w:szCs w:val="24"/>
        </w:rPr>
        <w:t>s</w:t>
      </w:r>
      <w:r w:rsidR="003D163F" w:rsidRPr="00D71470">
        <w:rPr>
          <w:rFonts w:ascii="Arial" w:hAnsi="Arial" w:cs="Arial"/>
          <w:sz w:val="24"/>
          <w:szCs w:val="24"/>
        </w:rPr>
        <w:t>cope</w:t>
      </w:r>
      <w:r w:rsidR="00BC58BF" w:rsidRPr="00D71470">
        <w:rPr>
          <w:rFonts w:ascii="Arial" w:hAnsi="Arial" w:cs="Arial"/>
          <w:sz w:val="24"/>
          <w:szCs w:val="24"/>
        </w:rPr>
        <w:t xml:space="preserve">. </w:t>
      </w:r>
      <w:r w:rsidR="00C303F4">
        <w:rPr>
          <w:rFonts w:ascii="Arial" w:hAnsi="Arial" w:cs="Arial"/>
          <w:sz w:val="24"/>
          <w:szCs w:val="24"/>
        </w:rPr>
        <w:t xml:space="preserve">Important aspects where </w:t>
      </w:r>
      <w:r w:rsidR="002269A8">
        <w:rPr>
          <w:rFonts w:ascii="Arial" w:hAnsi="Arial" w:cs="Arial"/>
          <w:sz w:val="24"/>
          <w:szCs w:val="24"/>
        </w:rPr>
        <w:t xml:space="preserve">the </w:t>
      </w:r>
      <w:r w:rsidR="00BD3BB8">
        <w:rPr>
          <w:rFonts w:ascii="Arial" w:hAnsi="Arial" w:cs="Arial"/>
          <w:sz w:val="24"/>
          <w:szCs w:val="24"/>
        </w:rPr>
        <w:t xml:space="preserve">Step 2 </w:t>
      </w:r>
      <w:r w:rsidR="002269A8">
        <w:rPr>
          <w:rFonts w:ascii="Arial" w:hAnsi="Arial" w:cs="Arial"/>
          <w:sz w:val="24"/>
          <w:szCs w:val="24"/>
        </w:rPr>
        <w:t xml:space="preserve">E3S case </w:t>
      </w:r>
      <w:r w:rsidR="00B93F07">
        <w:rPr>
          <w:rFonts w:ascii="Arial" w:hAnsi="Arial" w:cs="Arial"/>
          <w:sz w:val="24"/>
          <w:szCs w:val="24"/>
        </w:rPr>
        <w:t xml:space="preserve">has </w:t>
      </w:r>
      <w:r w:rsidR="00746863">
        <w:rPr>
          <w:rFonts w:ascii="Arial" w:hAnsi="Arial" w:cs="Arial"/>
          <w:sz w:val="24"/>
          <w:szCs w:val="24"/>
        </w:rPr>
        <w:t>limit</w:t>
      </w:r>
      <w:r w:rsidR="00B93F07">
        <w:rPr>
          <w:rFonts w:ascii="Arial" w:hAnsi="Arial" w:cs="Arial"/>
          <w:sz w:val="24"/>
          <w:szCs w:val="24"/>
        </w:rPr>
        <w:t xml:space="preserve">ations </w:t>
      </w:r>
      <w:r w:rsidR="0004567D" w:rsidRPr="00D71470">
        <w:rPr>
          <w:rFonts w:ascii="Arial" w:hAnsi="Arial" w:cs="Arial"/>
          <w:sz w:val="24"/>
          <w:szCs w:val="24"/>
        </w:rPr>
        <w:t>include</w:t>
      </w:r>
      <w:r w:rsidR="00BC58BF" w:rsidRPr="00D71470">
        <w:rPr>
          <w:rFonts w:ascii="Arial" w:hAnsi="Arial" w:cs="Arial"/>
          <w:sz w:val="24"/>
          <w:szCs w:val="24"/>
        </w:rPr>
        <w:t>:</w:t>
      </w:r>
    </w:p>
    <w:p w14:paraId="657F958D" w14:textId="0F8BA5E5" w:rsidR="008B2660" w:rsidRPr="00D71470" w:rsidRDefault="00971388" w:rsidP="00BC58BF">
      <w:pPr>
        <w:pStyle w:val="Numberedparagraph"/>
        <w:numPr>
          <w:ilvl w:val="0"/>
          <w:numId w:val="3"/>
        </w:numPr>
        <w:rPr>
          <w:szCs w:val="24"/>
        </w:rPr>
      </w:pPr>
      <w:r w:rsidRPr="00D71470">
        <w:rPr>
          <w:szCs w:val="24"/>
        </w:rPr>
        <w:t>A full scope safety analysis, covering deterministic and probabilistic analysis and the assessment of hazards is not yet available.</w:t>
      </w:r>
    </w:p>
    <w:p w14:paraId="5A4D93B6" w14:textId="06232943" w:rsidR="00DD7884" w:rsidRPr="00D71470" w:rsidRDefault="00004F15" w:rsidP="00BC58BF">
      <w:pPr>
        <w:pStyle w:val="Numberedparagraph"/>
        <w:numPr>
          <w:ilvl w:val="0"/>
          <w:numId w:val="3"/>
        </w:numPr>
        <w:rPr>
          <w:szCs w:val="24"/>
        </w:rPr>
      </w:pPr>
      <w:r>
        <w:rPr>
          <w:szCs w:val="24"/>
        </w:rPr>
        <w:t>D</w:t>
      </w:r>
      <w:r w:rsidR="00B230DF" w:rsidRPr="00D71470">
        <w:rPr>
          <w:szCs w:val="24"/>
        </w:rPr>
        <w:t>esign and requir</w:t>
      </w:r>
      <w:r w:rsidR="00703393" w:rsidRPr="00D71470">
        <w:rPr>
          <w:szCs w:val="24"/>
        </w:rPr>
        <w:t>e</w:t>
      </w:r>
      <w:r w:rsidR="00B230DF" w:rsidRPr="00D71470">
        <w:rPr>
          <w:szCs w:val="24"/>
        </w:rPr>
        <w:t xml:space="preserve">ments information </w:t>
      </w:r>
      <w:r w:rsidR="00746863">
        <w:rPr>
          <w:szCs w:val="24"/>
        </w:rPr>
        <w:t>is at differing levels of maturity for SSCs included i</w:t>
      </w:r>
      <w:r>
        <w:rPr>
          <w:szCs w:val="24"/>
        </w:rPr>
        <w:t>n the GDA Scope</w:t>
      </w:r>
      <w:r w:rsidR="00746863">
        <w:rPr>
          <w:szCs w:val="24"/>
        </w:rPr>
        <w:t xml:space="preserve"> and </w:t>
      </w:r>
      <w:r w:rsidR="00AB3707">
        <w:rPr>
          <w:szCs w:val="24"/>
        </w:rPr>
        <w:t>design reference</w:t>
      </w:r>
      <w:r w:rsidR="00B230DF" w:rsidRPr="00D71470">
        <w:rPr>
          <w:szCs w:val="24"/>
        </w:rPr>
        <w:t>.</w:t>
      </w:r>
    </w:p>
    <w:p w14:paraId="47AA6BB2" w14:textId="4D0A89D7" w:rsidR="00FF5112" w:rsidRPr="00D71470" w:rsidRDefault="00240CF8" w:rsidP="00BC58BF">
      <w:pPr>
        <w:pStyle w:val="Numberedparagraph"/>
        <w:numPr>
          <w:ilvl w:val="0"/>
          <w:numId w:val="3"/>
        </w:numPr>
        <w:rPr>
          <w:szCs w:val="24"/>
        </w:rPr>
      </w:pPr>
      <w:r>
        <w:rPr>
          <w:szCs w:val="24"/>
        </w:rPr>
        <w:t xml:space="preserve">Operational matters, which </w:t>
      </w:r>
      <w:r w:rsidR="002E5C48">
        <w:rPr>
          <w:szCs w:val="24"/>
        </w:rPr>
        <w:t xml:space="preserve">provide specific </w:t>
      </w:r>
      <w:r>
        <w:rPr>
          <w:szCs w:val="24"/>
        </w:rPr>
        <w:t>d</w:t>
      </w:r>
      <w:r w:rsidR="007D7C41" w:rsidRPr="00D71470">
        <w:rPr>
          <w:szCs w:val="24"/>
        </w:rPr>
        <w:t>e</w:t>
      </w:r>
      <w:r w:rsidR="00657E8B">
        <w:rPr>
          <w:szCs w:val="24"/>
        </w:rPr>
        <w:t>tail</w:t>
      </w:r>
      <w:r w:rsidR="002E5C48">
        <w:rPr>
          <w:szCs w:val="24"/>
        </w:rPr>
        <w:t>s on</w:t>
      </w:r>
      <w:r w:rsidR="00657E8B">
        <w:rPr>
          <w:szCs w:val="24"/>
        </w:rPr>
        <w:t xml:space="preserve"> how the Rolls-Royce SMR</w:t>
      </w:r>
      <w:r w:rsidR="00B47A17">
        <w:rPr>
          <w:szCs w:val="24"/>
        </w:rPr>
        <w:t xml:space="preserve"> will be </w:t>
      </w:r>
      <w:r w:rsidR="00657E8B">
        <w:rPr>
          <w:szCs w:val="24"/>
        </w:rPr>
        <w:t>operat</w:t>
      </w:r>
      <w:r w:rsidR="00B47A17">
        <w:rPr>
          <w:szCs w:val="24"/>
        </w:rPr>
        <w:t>ed</w:t>
      </w:r>
      <w:r w:rsidR="003811DD" w:rsidRPr="00D71470">
        <w:rPr>
          <w:szCs w:val="24"/>
        </w:rPr>
        <w:t xml:space="preserve"> are not yet available.</w:t>
      </w:r>
      <w:r w:rsidR="007D7C41" w:rsidRPr="00D71470">
        <w:rPr>
          <w:szCs w:val="24"/>
        </w:rPr>
        <w:t xml:space="preserve"> </w:t>
      </w:r>
      <w:r w:rsidR="000377B1" w:rsidRPr="00D71470">
        <w:rPr>
          <w:szCs w:val="24"/>
        </w:rPr>
        <w:t xml:space="preserve"> </w:t>
      </w:r>
      <w:r w:rsidR="009403A9" w:rsidRPr="00D71470">
        <w:rPr>
          <w:szCs w:val="24"/>
        </w:rPr>
        <w:t xml:space="preserve"> </w:t>
      </w:r>
    </w:p>
    <w:p w14:paraId="4E274910" w14:textId="2856E209" w:rsidR="00FF5112" w:rsidRPr="00D71470" w:rsidRDefault="00F1124A" w:rsidP="00BC58BF">
      <w:pPr>
        <w:pStyle w:val="Numberedparagraph"/>
        <w:numPr>
          <w:ilvl w:val="0"/>
          <w:numId w:val="3"/>
        </w:numPr>
        <w:rPr>
          <w:szCs w:val="24"/>
        </w:rPr>
      </w:pPr>
      <w:r>
        <w:rPr>
          <w:szCs w:val="24"/>
        </w:rPr>
        <w:t>R</w:t>
      </w:r>
      <w:r w:rsidR="00FF5112" w:rsidRPr="00D71470">
        <w:rPr>
          <w:szCs w:val="24"/>
        </w:rPr>
        <w:t>adiological a</w:t>
      </w:r>
      <w:r w:rsidR="00314997">
        <w:rPr>
          <w:szCs w:val="24"/>
        </w:rPr>
        <w:t>nalysis</w:t>
      </w:r>
      <w:r w:rsidR="003A4B16" w:rsidRPr="00D71470">
        <w:rPr>
          <w:szCs w:val="24"/>
        </w:rPr>
        <w:t xml:space="preserve"> for normal operations and faults</w:t>
      </w:r>
      <w:r w:rsidR="00143E94" w:rsidRPr="00D71470">
        <w:rPr>
          <w:szCs w:val="24"/>
        </w:rPr>
        <w:t xml:space="preserve"> require more design details than are currently available.</w:t>
      </w:r>
      <w:r w:rsidR="003A4B16" w:rsidRPr="00D71470">
        <w:rPr>
          <w:szCs w:val="24"/>
        </w:rPr>
        <w:t xml:space="preserve"> </w:t>
      </w:r>
    </w:p>
    <w:p w14:paraId="464CD913" w14:textId="77777777" w:rsidR="000F617E" w:rsidRPr="00D71470" w:rsidRDefault="000F617E" w:rsidP="000F617E">
      <w:pPr>
        <w:rPr>
          <w:rFonts w:ascii="Arial" w:hAnsi="Arial" w:cs="Arial"/>
          <w:b/>
          <w:bCs/>
          <w:sz w:val="24"/>
          <w:szCs w:val="24"/>
        </w:rPr>
      </w:pPr>
      <w:r w:rsidRPr="00D71470">
        <w:rPr>
          <w:rFonts w:ascii="Arial" w:hAnsi="Arial" w:cs="Arial"/>
          <w:b/>
          <w:bCs/>
          <w:sz w:val="24"/>
          <w:szCs w:val="24"/>
        </w:rPr>
        <w:t>Assessment outcomes</w:t>
      </w:r>
    </w:p>
    <w:p w14:paraId="1B2D7AA7" w14:textId="354C1CC8" w:rsidR="005860AA" w:rsidRDefault="001C3EE4" w:rsidP="002D7FB8">
      <w:pPr>
        <w:rPr>
          <w:rFonts w:ascii="Arial" w:hAnsi="Arial" w:cs="Arial"/>
          <w:sz w:val="24"/>
          <w:szCs w:val="24"/>
        </w:rPr>
      </w:pPr>
      <w:r w:rsidRPr="001C3EE4">
        <w:rPr>
          <w:rFonts w:ascii="Arial" w:hAnsi="Arial" w:cs="Arial"/>
          <w:sz w:val="24"/>
          <w:szCs w:val="24"/>
        </w:rPr>
        <w:t xml:space="preserve">Overall, based on </w:t>
      </w:r>
      <w:r w:rsidR="003B35B4">
        <w:rPr>
          <w:rFonts w:ascii="Arial" w:hAnsi="Arial" w:cs="Arial"/>
          <w:sz w:val="24"/>
          <w:szCs w:val="24"/>
        </w:rPr>
        <w:t>our</w:t>
      </w:r>
      <w:r w:rsidRPr="001C3EE4">
        <w:rPr>
          <w:rFonts w:ascii="Arial" w:hAnsi="Arial" w:cs="Arial"/>
          <w:sz w:val="24"/>
          <w:szCs w:val="24"/>
        </w:rPr>
        <w:t xml:space="preserve"> assessment to date, and subject to the provision and assessment of suitable and sufficient supporting evidence, we have not identified any fundamental safety, security or safeguards shortfalls that could prevent ONR permissioning the construction of a power station based on the generic Rolls-Royce SMR design.</w:t>
      </w:r>
    </w:p>
    <w:p w14:paraId="6E9D3BB7" w14:textId="0C5954BD" w:rsidR="00EE665D" w:rsidRDefault="00E07A11" w:rsidP="002D7FB8">
      <w:pPr>
        <w:rPr>
          <w:rFonts w:ascii="Arial" w:hAnsi="Arial" w:cs="Arial"/>
          <w:sz w:val="24"/>
          <w:szCs w:val="24"/>
        </w:rPr>
      </w:pPr>
      <w:r w:rsidRPr="00E07A11">
        <w:rPr>
          <w:rFonts w:ascii="Arial" w:hAnsi="Arial" w:cs="Arial"/>
          <w:sz w:val="24"/>
          <w:szCs w:val="24"/>
        </w:rPr>
        <w:t xml:space="preserve">We have not identified any </w:t>
      </w:r>
      <w:r w:rsidR="00392C93">
        <w:rPr>
          <w:rFonts w:ascii="Arial" w:hAnsi="Arial" w:cs="Arial"/>
          <w:sz w:val="24"/>
          <w:szCs w:val="24"/>
        </w:rPr>
        <w:t xml:space="preserve">potential </w:t>
      </w:r>
      <w:r w:rsidRPr="00E07A11">
        <w:rPr>
          <w:rFonts w:ascii="Arial" w:hAnsi="Arial" w:cs="Arial"/>
          <w:sz w:val="24"/>
          <w:szCs w:val="24"/>
        </w:rPr>
        <w:t xml:space="preserve">conflicts with relevant </w:t>
      </w:r>
      <w:r w:rsidR="00007592">
        <w:rPr>
          <w:rFonts w:ascii="Arial" w:hAnsi="Arial" w:cs="Arial"/>
          <w:sz w:val="24"/>
          <w:szCs w:val="24"/>
        </w:rPr>
        <w:t>g</w:t>
      </w:r>
      <w:r w:rsidRPr="00E07A11">
        <w:rPr>
          <w:rFonts w:ascii="Arial" w:hAnsi="Arial" w:cs="Arial"/>
          <w:sz w:val="24"/>
          <w:szCs w:val="24"/>
        </w:rPr>
        <w:t>overnment policy</w:t>
      </w:r>
      <w:r w:rsidR="00392C93">
        <w:rPr>
          <w:rFonts w:ascii="Arial" w:hAnsi="Arial" w:cs="Arial"/>
          <w:sz w:val="24"/>
          <w:szCs w:val="24"/>
        </w:rPr>
        <w:t xml:space="preserve"> at this time</w:t>
      </w:r>
      <w:r w:rsidRPr="00E07A11">
        <w:rPr>
          <w:rFonts w:ascii="Arial" w:hAnsi="Arial" w:cs="Arial"/>
          <w:sz w:val="24"/>
          <w:szCs w:val="24"/>
        </w:rPr>
        <w:t>.</w:t>
      </w:r>
    </w:p>
    <w:p w14:paraId="55D473CF" w14:textId="282A4073" w:rsidR="000F0F86" w:rsidRPr="00D71470" w:rsidRDefault="005F717F" w:rsidP="002D7FB8">
      <w:pPr>
        <w:rPr>
          <w:rFonts w:ascii="Arial" w:hAnsi="Arial" w:cs="Arial"/>
          <w:sz w:val="24"/>
          <w:szCs w:val="24"/>
        </w:rPr>
      </w:pPr>
      <w:r>
        <w:rPr>
          <w:rFonts w:ascii="Arial" w:hAnsi="Arial" w:cs="Arial"/>
          <w:sz w:val="24"/>
          <w:szCs w:val="24"/>
        </w:rPr>
        <w:t>We</w:t>
      </w:r>
      <w:r w:rsidR="000F0F86" w:rsidRPr="00D71470">
        <w:rPr>
          <w:rFonts w:ascii="Arial" w:hAnsi="Arial" w:cs="Arial"/>
          <w:sz w:val="24"/>
          <w:szCs w:val="24"/>
        </w:rPr>
        <w:t xml:space="preserve"> raised </w:t>
      </w:r>
      <w:r>
        <w:rPr>
          <w:rFonts w:ascii="Arial" w:hAnsi="Arial" w:cs="Arial"/>
          <w:sz w:val="24"/>
          <w:szCs w:val="24"/>
        </w:rPr>
        <w:t>two</w:t>
      </w:r>
      <w:r w:rsidR="000F0F86" w:rsidRPr="00D71470">
        <w:rPr>
          <w:rFonts w:ascii="Arial" w:hAnsi="Arial" w:cs="Arial"/>
          <w:sz w:val="24"/>
          <w:szCs w:val="24"/>
        </w:rPr>
        <w:t xml:space="preserve"> Regulatory Observations</w:t>
      </w:r>
      <w:r w:rsidR="00CE2550" w:rsidRPr="00D71470">
        <w:rPr>
          <w:rFonts w:ascii="Arial" w:hAnsi="Arial" w:cs="Arial"/>
          <w:sz w:val="24"/>
          <w:szCs w:val="24"/>
        </w:rPr>
        <w:t xml:space="preserve"> (ROs)</w:t>
      </w:r>
      <w:r w:rsidR="005B4BF5" w:rsidRPr="00D71470">
        <w:rPr>
          <w:rFonts w:ascii="Arial" w:hAnsi="Arial" w:cs="Arial"/>
          <w:sz w:val="24"/>
          <w:szCs w:val="24"/>
        </w:rPr>
        <w:t xml:space="preserve"> </w:t>
      </w:r>
      <w:r w:rsidR="001974E2">
        <w:rPr>
          <w:rFonts w:ascii="Arial" w:hAnsi="Arial" w:cs="Arial"/>
          <w:sz w:val="24"/>
          <w:szCs w:val="24"/>
        </w:rPr>
        <w:t>during Step 2. These were areas</w:t>
      </w:r>
      <w:r w:rsidR="005B4BF5" w:rsidRPr="00D71470">
        <w:rPr>
          <w:rFonts w:ascii="Arial" w:hAnsi="Arial" w:cs="Arial"/>
          <w:sz w:val="24"/>
          <w:szCs w:val="24"/>
        </w:rPr>
        <w:t xml:space="preserve"> where we </w:t>
      </w:r>
      <w:r w:rsidR="000F0F86" w:rsidRPr="00D71470">
        <w:rPr>
          <w:rFonts w:ascii="Arial" w:hAnsi="Arial" w:cs="Arial"/>
          <w:sz w:val="24"/>
          <w:szCs w:val="24"/>
        </w:rPr>
        <w:t xml:space="preserve">identified a potential regulatory shortfall which </w:t>
      </w:r>
      <w:r w:rsidR="005B4BF5" w:rsidRPr="00D71470">
        <w:rPr>
          <w:rFonts w:ascii="Arial" w:hAnsi="Arial" w:cs="Arial"/>
          <w:sz w:val="24"/>
          <w:szCs w:val="24"/>
        </w:rPr>
        <w:t>require</w:t>
      </w:r>
      <w:r w:rsidR="001974E2">
        <w:rPr>
          <w:rFonts w:ascii="Arial" w:hAnsi="Arial" w:cs="Arial"/>
          <w:sz w:val="24"/>
          <w:szCs w:val="24"/>
        </w:rPr>
        <w:t>s</w:t>
      </w:r>
      <w:r w:rsidR="005B4BF5" w:rsidRPr="00D71470">
        <w:rPr>
          <w:rFonts w:ascii="Arial" w:hAnsi="Arial" w:cs="Arial"/>
          <w:sz w:val="24"/>
          <w:szCs w:val="24"/>
        </w:rPr>
        <w:t xml:space="preserve"> </w:t>
      </w:r>
      <w:r w:rsidR="000F0F86" w:rsidRPr="00D71470">
        <w:rPr>
          <w:rFonts w:ascii="Arial" w:hAnsi="Arial" w:cs="Arial"/>
          <w:sz w:val="24"/>
          <w:szCs w:val="24"/>
        </w:rPr>
        <w:t>action and new work by the RP for it to be resolved.</w:t>
      </w:r>
      <w:r w:rsidR="00DB1BE9" w:rsidRPr="00D71470">
        <w:rPr>
          <w:rFonts w:ascii="Arial" w:hAnsi="Arial" w:cs="Arial"/>
          <w:sz w:val="24"/>
          <w:szCs w:val="24"/>
        </w:rPr>
        <w:t xml:space="preserve"> Resolution </w:t>
      </w:r>
      <w:r w:rsidR="00EC2F09" w:rsidRPr="00D71470">
        <w:rPr>
          <w:rFonts w:ascii="Arial" w:hAnsi="Arial" w:cs="Arial"/>
          <w:sz w:val="24"/>
          <w:szCs w:val="24"/>
        </w:rPr>
        <w:t xml:space="preserve">plans </w:t>
      </w:r>
      <w:r w:rsidR="00DB1BE9" w:rsidRPr="00D71470">
        <w:rPr>
          <w:rFonts w:ascii="Arial" w:hAnsi="Arial" w:cs="Arial"/>
          <w:sz w:val="24"/>
          <w:szCs w:val="24"/>
        </w:rPr>
        <w:t xml:space="preserve">for both ROs have been agreed </w:t>
      </w:r>
      <w:r w:rsidR="005B4BF5" w:rsidRPr="00D71470">
        <w:rPr>
          <w:rFonts w:ascii="Arial" w:hAnsi="Arial" w:cs="Arial"/>
          <w:sz w:val="24"/>
          <w:szCs w:val="24"/>
        </w:rPr>
        <w:t xml:space="preserve">and </w:t>
      </w:r>
      <w:r w:rsidR="00DD2DE1">
        <w:rPr>
          <w:rFonts w:ascii="Arial" w:hAnsi="Arial" w:cs="Arial"/>
          <w:sz w:val="24"/>
          <w:szCs w:val="24"/>
        </w:rPr>
        <w:t xml:space="preserve">good </w:t>
      </w:r>
      <w:r w:rsidR="005B4BF5" w:rsidRPr="00D71470">
        <w:rPr>
          <w:rFonts w:ascii="Arial" w:hAnsi="Arial" w:cs="Arial"/>
          <w:sz w:val="24"/>
          <w:szCs w:val="24"/>
        </w:rPr>
        <w:t>progress towards resolution continues.</w:t>
      </w:r>
    </w:p>
    <w:p w14:paraId="000AEAF4" w14:textId="6160DC56" w:rsidR="006D4309" w:rsidRPr="00D71470" w:rsidRDefault="00DA692F" w:rsidP="00CD3104">
      <w:pPr>
        <w:rPr>
          <w:rFonts w:ascii="Arial" w:hAnsi="Arial" w:cs="Arial"/>
          <w:sz w:val="24"/>
          <w:szCs w:val="24"/>
        </w:rPr>
      </w:pPr>
      <w:r w:rsidRPr="00D71470">
        <w:rPr>
          <w:rFonts w:ascii="Arial" w:hAnsi="Arial" w:cs="Arial"/>
          <w:sz w:val="24"/>
          <w:szCs w:val="24"/>
        </w:rPr>
        <w:t>A number of</w:t>
      </w:r>
      <w:r w:rsidR="00A479C5" w:rsidRPr="00D71470">
        <w:rPr>
          <w:rFonts w:ascii="Arial" w:hAnsi="Arial" w:cs="Arial"/>
          <w:sz w:val="24"/>
          <w:szCs w:val="24"/>
        </w:rPr>
        <w:t xml:space="preserve"> technical </w:t>
      </w:r>
      <w:r w:rsidR="00F2519E" w:rsidRPr="00D71470">
        <w:rPr>
          <w:rFonts w:ascii="Arial" w:hAnsi="Arial" w:cs="Arial"/>
          <w:sz w:val="24"/>
          <w:szCs w:val="24"/>
        </w:rPr>
        <w:t xml:space="preserve">aspects </w:t>
      </w:r>
      <w:r w:rsidRPr="00D71470">
        <w:rPr>
          <w:rFonts w:ascii="Arial" w:hAnsi="Arial" w:cs="Arial"/>
          <w:sz w:val="24"/>
          <w:szCs w:val="24"/>
        </w:rPr>
        <w:t xml:space="preserve">have been identified </w:t>
      </w:r>
      <w:r w:rsidR="00A92DE4" w:rsidRPr="00D71470">
        <w:rPr>
          <w:rFonts w:ascii="Arial" w:hAnsi="Arial" w:cs="Arial"/>
          <w:sz w:val="24"/>
          <w:szCs w:val="24"/>
        </w:rPr>
        <w:t>where we would expect to seek further information</w:t>
      </w:r>
      <w:r w:rsidR="00A479C5" w:rsidRPr="00D71470">
        <w:rPr>
          <w:rFonts w:ascii="Arial" w:hAnsi="Arial" w:cs="Arial"/>
          <w:sz w:val="24"/>
          <w:szCs w:val="24"/>
        </w:rPr>
        <w:t xml:space="preserve"> </w:t>
      </w:r>
      <w:r w:rsidR="0018636B">
        <w:rPr>
          <w:rFonts w:ascii="Arial" w:hAnsi="Arial" w:cs="Arial"/>
          <w:sz w:val="24"/>
          <w:szCs w:val="24"/>
        </w:rPr>
        <w:t xml:space="preserve">during </w:t>
      </w:r>
      <w:r w:rsidR="004930EF">
        <w:rPr>
          <w:rFonts w:ascii="Arial" w:hAnsi="Arial" w:cs="Arial"/>
          <w:sz w:val="24"/>
          <w:szCs w:val="24"/>
        </w:rPr>
        <w:t>future</w:t>
      </w:r>
      <w:r w:rsidR="0018636B">
        <w:rPr>
          <w:rFonts w:ascii="Arial" w:hAnsi="Arial" w:cs="Arial"/>
          <w:sz w:val="24"/>
          <w:szCs w:val="24"/>
        </w:rPr>
        <w:t xml:space="preserve"> regulatory interactions</w:t>
      </w:r>
      <w:r w:rsidR="00F948DD">
        <w:rPr>
          <w:rFonts w:ascii="Arial" w:hAnsi="Arial" w:cs="Arial"/>
          <w:sz w:val="24"/>
          <w:szCs w:val="24"/>
        </w:rPr>
        <w:t>. These</w:t>
      </w:r>
      <w:r w:rsidR="00A479C5" w:rsidRPr="00D71470">
        <w:rPr>
          <w:rFonts w:ascii="Arial" w:hAnsi="Arial" w:cs="Arial"/>
          <w:sz w:val="24"/>
          <w:szCs w:val="24"/>
        </w:rPr>
        <w:t xml:space="preserve"> are </w:t>
      </w:r>
      <w:r w:rsidR="00F948DD">
        <w:rPr>
          <w:rFonts w:ascii="Arial" w:hAnsi="Arial" w:cs="Arial"/>
          <w:sz w:val="24"/>
          <w:szCs w:val="24"/>
        </w:rPr>
        <w:t>reported</w:t>
      </w:r>
      <w:r w:rsidR="00F948DD" w:rsidRPr="00D71470">
        <w:rPr>
          <w:rFonts w:ascii="Arial" w:hAnsi="Arial" w:cs="Arial"/>
          <w:sz w:val="24"/>
          <w:szCs w:val="24"/>
        </w:rPr>
        <w:t xml:space="preserve"> </w:t>
      </w:r>
      <w:r w:rsidR="00CD3104" w:rsidRPr="00D71470">
        <w:rPr>
          <w:rFonts w:ascii="Arial" w:hAnsi="Arial" w:cs="Arial"/>
          <w:sz w:val="24"/>
          <w:szCs w:val="24"/>
        </w:rPr>
        <w:t xml:space="preserve">in the </w:t>
      </w:r>
      <w:r w:rsidR="00474313" w:rsidRPr="00D71470">
        <w:rPr>
          <w:rFonts w:ascii="Arial" w:hAnsi="Arial" w:cs="Arial"/>
          <w:sz w:val="24"/>
          <w:szCs w:val="24"/>
        </w:rPr>
        <w:t xml:space="preserve">summary report (ref. </w:t>
      </w:r>
      <w:sdt>
        <w:sdtPr>
          <w:rPr>
            <w:rFonts w:ascii="Arial" w:hAnsi="Arial" w:cs="Arial"/>
            <w:sz w:val="24"/>
            <w:szCs w:val="24"/>
          </w:rPr>
          <w:id w:val="-344016664"/>
          <w:citation/>
        </w:sdtPr>
        <w:sdtEndPr/>
        <w:sdtContent>
          <w:r w:rsidR="00474313" w:rsidRPr="00D71470">
            <w:rPr>
              <w:rFonts w:ascii="Arial" w:hAnsi="Arial" w:cs="Arial"/>
              <w:sz w:val="24"/>
              <w:szCs w:val="24"/>
            </w:rPr>
            <w:fldChar w:fldCharType="begin"/>
          </w:r>
          <w:r w:rsidR="00474313" w:rsidRPr="00D71470">
            <w:rPr>
              <w:rFonts w:ascii="Arial" w:hAnsi="Arial" w:cs="Arial"/>
              <w:sz w:val="24"/>
              <w:szCs w:val="24"/>
            </w:rPr>
            <w:instrText xml:space="preserve"> CITATION PAR \l 2057 </w:instrText>
          </w:r>
          <w:r w:rsidR="00474313" w:rsidRPr="00D71470">
            <w:rPr>
              <w:rFonts w:ascii="Arial" w:hAnsi="Arial" w:cs="Arial"/>
              <w:sz w:val="24"/>
              <w:szCs w:val="24"/>
            </w:rPr>
            <w:fldChar w:fldCharType="separate"/>
          </w:r>
          <w:r w:rsidR="00BC04B5" w:rsidRPr="00D71470">
            <w:rPr>
              <w:rFonts w:ascii="Arial" w:hAnsi="Arial" w:cs="Arial"/>
              <w:noProof/>
              <w:sz w:val="24"/>
              <w:szCs w:val="24"/>
            </w:rPr>
            <w:t>[2]</w:t>
          </w:r>
          <w:r w:rsidR="00474313" w:rsidRPr="00D71470">
            <w:rPr>
              <w:rFonts w:ascii="Arial" w:hAnsi="Arial" w:cs="Arial"/>
              <w:sz w:val="24"/>
              <w:szCs w:val="24"/>
            </w:rPr>
            <w:fldChar w:fldCharType="end"/>
          </w:r>
        </w:sdtContent>
      </w:sdt>
      <w:r w:rsidR="00474313" w:rsidRPr="00D71470">
        <w:rPr>
          <w:rFonts w:ascii="Arial" w:hAnsi="Arial" w:cs="Arial"/>
          <w:sz w:val="24"/>
          <w:szCs w:val="24"/>
        </w:rPr>
        <w:t>)</w:t>
      </w:r>
      <w:r w:rsidRPr="00D71470">
        <w:rPr>
          <w:rFonts w:ascii="Arial" w:hAnsi="Arial" w:cs="Arial"/>
          <w:sz w:val="24"/>
          <w:szCs w:val="24"/>
        </w:rPr>
        <w:t>.</w:t>
      </w:r>
    </w:p>
    <w:p w14:paraId="051913B2" w14:textId="0E0ED81B" w:rsidR="00A16E6B" w:rsidRPr="00F06134" w:rsidRDefault="008F040C" w:rsidP="00D71470">
      <w:pPr>
        <w:spacing w:after="0" w:line="240" w:lineRule="auto"/>
        <w:rPr>
          <w:rFonts w:ascii="Arial" w:eastAsia="Calibri" w:hAnsi="Arial" w:cs="Arial"/>
          <w:b/>
          <w:bCs/>
          <w:sz w:val="24"/>
          <w:szCs w:val="24"/>
          <w:lang w:bidi="he-IL"/>
        </w:rPr>
      </w:pPr>
      <w:bookmarkStart w:id="1" w:name="_Toc168321891"/>
      <w:r w:rsidRPr="00F06134">
        <w:rPr>
          <w:rFonts w:ascii="Arial" w:eastAsia="Calibri" w:hAnsi="Arial" w:cs="Arial"/>
          <w:b/>
          <w:bCs/>
          <w:sz w:val="24"/>
          <w:szCs w:val="24"/>
          <w:lang w:bidi="he-IL"/>
        </w:rPr>
        <w:t>Readiness for Step 3</w:t>
      </w:r>
    </w:p>
    <w:p w14:paraId="11FD5056" w14:textId="77777777" w:rsidR="008F040C" w:rsidRPr="00F06134" w:rsidRDefault="008F040C" w:rsidP="00D71470">
      <w:pPr>
        <w:spacing w:after="0" w:line="240" w:lineRule="auto"/>
        <w:rPr>
          <w:rFonts w:ascii="Arial" w:eastAsia="Calibri" w:hAnsi="Arial" w:cs="Arial"/>
          <w:b/>
          <w:bCs/>
          <w:sz w:val="24"/>
          <w:szCs w:val="24"/>
          <w:lang w:bidi="he-IL"/>
        </w:rPr>
      </w:pPr>
    </w:p>
    <w:p w14:paraId="1304FA05" w14:textId="060F23B8" w:rsidR="008F040C" w:rsidRPr="00382498" w:rsidRDefault="00E97EE4" w:rsidP="00D71470">
      <w:pPr>
        <w:spacing w:after="0" w:line="240" w:lineRule="auto"/>
        <w:rPr>
          <w:rFonts w:ascii="Arial" w:eastAsia="Calibri" w:hAnsi="Arial" w:cs="Arial"/>
          <w:sz w:val="24"/>
          <w:szCs w:val="24"/>
          <w:lang w:bidi="he-IL"/>
        </w:rPr>
      </w:pPr>
      <w:r>
        <w:rPr>
          <w:rFonts w:ascii="Arial" w:eastAsia="Calibri" w:hAnsi="Arial" w:cs="Arial"/>
          <w:sz w:val="24"/>
          <w:szCs w:val="24"/>
          <w:lang w:bidi="he-IL"/>
        </w:rPr>
        <w:t>Our</w:t>
      </w:r>
      <w:r w:rsidR="004318EE" w:rsidRPr="00F06134">
        <w:rPr>
          <w:rFonts w:ascii="Arial" w:eastAsia="Calibri" w:hAnsi="Arial" w:cs="Arial"/>
          <w:sz w:val="24"/>
          <w:szCs w:val="24"/>
          <w:lang w:bidi="he-IL"/>
        </w:rPr>
        <w:t xml:space="preserve"> </w:t>
      </w:r>
      <w:r w:rsidR="00382498" w:rsidRPr="00F06134">
        <w:rPr>
          <w:rFonts w:ascii="Arial" w:eastAsia="Calibri" w:hAnsi="Arial" w:cs="Arial"/>
          <w:sz w:val="24"/>
          <w:szCs w:val="24"/>
          <w:lang w:bidi="he-IL"/>
        </w:rPr>
        <w:t xml:space="preserve">readiness </w:t>
      </w:r>
      <w:r w:rsidR="008F040C" w:rsidRPr="00F06134">
        <w:rPr>
          <w:rFonts w:ascii="Arial" w:eastAsia="Calibri" w:hAnsi="Arial" w:cs="Arial"/>
          <w:sz w:val="24"/>
          <w:szCs w:val="24"/>
          <w:lang w:bidi="he-IL"/>
        </w:rPr>
        <w:t xml:space="preserve">review </w:t>
      </w:r>
      <w:r w:rsidR="00E360AC" w:rsidRPr="00F06134">
        <w:rPr>
          <w:rFonts w:ascii="Arial" w:eastAsia="Calibri" w:hAnsi="Arial" w:cs="Arial"/>
          <w:sz w:val="24"/>
          <w:szCs w:val="24"/>
          <w:lang w:bidi="he-IL"/>
        </w:rPr>
        <w:t xml:space="preserve">concluded </w:t>
      </w:r>
      <w:r w:rsidR="008855CB" w:rsidRPr="00F06134">
        <w:rPr>
          <w:rFonts w:ascii="Arial" w:eastAsia="Calibri" w:hAnsi="Arial" w:cs="Arial"/>
          <w:sz w:val="24"/>
          <w:szCs w:val="24"/>
          <w:lang w:bidi="he-IL"/>
        </w:rPr>
        <w:t xml:space="preserve">that </w:t>
      </w:r>
      <w:r w:rsidR="00382498" w:rsidRPr="00F06134">
        <w:rPr>
          <w:rFonts w:ascii="Arial" w:eastAsia="Calibri" w:hAnsi="Arial" w:cs="Arial"/>
          <w:sz w:val="24"/>
          <w:szCs w:val="24"/>
          <w:lang w:bidi="he-IL"/>
        </w:rPr>
        <w:t xml:space="preserve">both the RP and ONR </w:t>
      </w:r>
      <w:r w:rsidR="008855CB" w:rsidRPr="00F06134">
        <w:rPr>
          <w:rFonts w:ascii="Arial" w:eastAsia="Calibri" w:hAnsi="Arial" w:cs="Arial"/>
          <w:sz w:val="24"/>
          <w:szCs w:val="24"/>
          <w:lang w:bidi="he-IL"/>
        </w:rPr>
        <w:t>are ready to begin Step</w:t>
      </w:r>
      <w:r>
        <w:rPr>
          <w:rFonts w:ascii="Arial" w:eastAsia="Calibri" w:hAnsi="Arial" w:cs="Arial"/>
          <w:sz w:val="24"/>
          <w:szCs w:val="24"/>
          <w:lang w:bidi="he-IL"/>
        </w:rPr>
        <w:t> </w:t>
      </w:r>
      <w:r w:rsidR="008855CB" w:rsidRPr="00F06134">
        <w:rPr>
          <w:rFonts w:ascii="Arial" w:eastAsia="Calibri" w:hAnsi="Arial" w:cs="Arial"/>
          <w:sz w:val="24"/>
          <w:szCs w:val="24"/>
          <w:lang w:bidi="he-IL"/>
        </w:rPr>
        <w:t>3.</w:t>
      </w:r>
    </w:p>
    <w:p w14:paraId="7E9101B1" w14:textId="77777777" w:rsidR="00A16E6B" w:rsidRPr="00382498" w:rsidRDefault="00A16E6B" w:rsidP="00D71470">
      <w:pPr>
        <w:spacing w:after="0" w:line="240" w:lineRule="auto"/>
        <w:rPr>
          <w:rFonts w:ascii="Arial" w:eastAsia="Calibri" w:hAnsi="Arial" w:cs="Arial"/>
          <w:sz w:val="24"/>
          <w:szCs w:val="24"/>
          <w:lang w:bidi="he-IL"/>
        </w:rPr>
      </w:pPr>
    </w:p>
    <w:p w14:paraId="63536C94" w14:textId="1DA2AED0" w:rsidR="00D71470" w:rsidRPr="00D71470" w:rsidRDefault="00620F52" w:rsidP="00D71470">
      <w:pPr>
        <w:spacing w:after="0" w:line="240" w:lineRule="auto"/>
        <w:rPr>
          <w:rFonts w:ascii="Arial" w:eastAsia="Calibri" w:hAnsi="Arial" w:cs="Arial"/>
          <w:b/>
          <w:bCs/>
          <w:sz w:val="24"/>
          <w:szCs w:val="24"/>
          <w:lang w:bidi="he-IL"/>
        </w:rPr>
      </w:pPr>
      <w:r w:rsidRPr="00D71470">
        <w:rPr>
          <w:rFonts w:ascii="Arial" w:eastAsia="Calibri" w:hAnsi="Arial" w:cs="Arial"/>
          <w:b/>
          <w:bCs/>
          <w:sz w:val="24"/>
          <w:szCs w:val="24"/>
          <w:lang w:bidi="he-IL"/>
        </w:rPr>
        <w:t>References</w:t>
      </w:r>
      <w:bookmarkEnd w:id="1"/>
    </w:p>
    <w:sdt>
      <w:sdtPr>
        <w:rPr>
          <w:rFonts w:ascii="Arial" w:eastAsia="Calibri" w:hAnsi="Arial" w:cs="Arial"/>
          <w:sz w:val="24"/>
          <w:szCs w:val="24"/>
          <w:lang w:bidi="he-IL"/>
        </w:rPr>
        <w:id w:val="1663974676"/>
        <w:docPartObj>
          <w:docPartGallery w:val="Bibliographies"/>
          <w:docPartUnique/>
        </w:docPartObj>
      </w:sdtPr>
      <w:sdtEndPr>
        <w:rPr>
          <w:szCs w:val="22"/>
        </w:rPr>
      </w:sdtEndPr>
      <w:sdtContent>
        <w:sdt>
          <w:sdtPr>
            <w:rPr>
              <w:rFonts w:ascii="Arial" w:eastAsia="Calibri" w:hAnsi="Arial" w:cs="Arial"/>
              <w:sz w:val="24"/>
              <w:szCs w:val="24"/>
              <w:lang w:bidi="he-IL"/>
            </w:rPr>
            <w:id w:val="-573587230"/>
            <w:bibliography/>
          </w:sdtPr>
          <w:sdtEndPr>
            <w:rPr>
              <w:szCs w:val="22"/>
            </w:rPr>
          </w:sdtEndPr>
          <w:sdtContent>
            <w:p w14:paraId="41CF5CE5" w14:textId="41A147FC" w:rsidR="00BC04B5" w:rsidRPr="006B6628" w:rsidRDefault="00620F52" w:rsidP="00D71470">
              <w:pPr>
                <w:keepNext/>
                <w:spacing w:after="0" w:line="240" w:lineRule="auto"/>
                <w:ind w:left="851" w:hanging="851"/>
                <w:outlineLvl w:val="0"/>
                <w:rPr>
                  <w:noProof/>
                </w:rPr>
              </w:pPr>
              <w:r w:rsidRPr="006B6628">
                <w:rPr>
                  <w:rFonts w:ascii="Arial" w:eastAsia="Calibri" w:hAnsi="Arial" w:cs="Arial"/>
                  <w:sz w:val="24"/>
                  <w:szCs w:val="24"/>
                  <w:lang w:bidi="he-IL"/>
                </w:rPr>
                <w:fldChar w:fldCharType="begin"/>
              </w:r>
              <w:r w:rsidRPr="006B6628">
                <w:rPr>
                  <w:rFonts w:ascii="Arial" w:eastAsia="Calibri" w:hAnsi="Arial" w:cs="Arial"/>
                  <w:sz w:val="24"/>
                  <w:szCs w:val="24"/>
                  <w:lang w:bidi="he-IL"/>
                </w:rPr>
                <w:instrText xml:space="preserve"> BIBLIOGRAPHY </w:instrText>
              </w:r>
              <w:r w:rsidRPr="006B6628">
                <w:rPr>
                  <w:rFonts w:ascii="Arial" w:eastAsia="Calibri" w:hAnsi="Arial" w:cs="Arial"/>
                  <w:sz w:val="24"/>
                  <w:szCs w:val="24"/>
                  <w:lang w:bidi="he-IL"/>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684"/>
              </w:tblGrid>
              <w:tr w:rsidR="00BC04B5" w:rsidRPr="00BC04B5" w14:paraId="2E534410" w14:textId="77777777">
                <w:trPr>
                  <w:divId w:val="516887202"/>
                  <w:tblCellSpacing w:w="15" w:type="dxa"/>
                </w:trPr>
                <w:tc>
                  <w:tcPr>
                    <w:tcW w:w="50" w:type="pct"/>
                    <w:hideMark/>
                  </w:tcPr>
                  <w:p w14:paraId="6BF9D456" w14:textId="44D1DB1A"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[1] </w:t>
                    </w:r>
                  </w:p>
                </w:tc>
                <w:tc>
                  <w:tcPr>
                    <w:tcW w:w="0" w:type="auto"/>
                    <w:hideMark/>
                  </w:tcPr>
                  <w:p w14:paraId="6A53DD07"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ONR, New Nuclear Power Plants: Generic Design Assessment Guidance to Requesting Parties, ONR-GDA-GD-006 Revision 0, October 2019. www.onr.org.uk/media/pylbvfnz/onr-gda-gd-006.pdf. </w:t>
                    </w:r>
                  </w:p>
                </w:tc>
              </w:tr>
              <w:tr w:rsidR="00BC04B5" w:rsidRPr="00BC04B5" w14:paraId="6EDE307A" w14:textId="77777777">
                <w:trPr>
                  <w:divId w:val="516887202"/>
                  <w:tblCellSpacing w:w="15" w:type="dxa"/>
                </w:trPr>
                <w:tc>
                  <w:tcPr>
                    <w:tcW w:w="50" w:type="pct"/>
                    <w:hideMark/>
                  </w:tcPr>
                  <w:p w14:paraId="4B66F094"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lastRenderedPageBreak/>
                      <w:t xml:space="preserve">[2] </w:t>
                    </w:r>
                  </w:p>
                </w:tc>
                <w:tc>
                  <w:tcPr>
                    <w:tcW w:w="0" w:type="auto"/>
                    <w:hideMark/>
                  </w:tcPr>
                  <w:p w14:paraId="472844A4"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ONR, Generic Design Assessment of the Rolls-Royce SMR - Step 2 summary, ONRW-2019369590-8980, Issue No. 1, July 2024. (Record ref. ONRW-2019369590-8980). </w:t>
                    </w:r>
                  </w:p>
                </w:tc>
              </w:tr>
              <w:tr w:rsidR="00BC04B5" w:rsidRPr="00BC04B5" w14:paraId="30BE5351" w14:textId="77777777">
                <w:trPr>
                  <w:divId w:val="516887202"/>
                  <w:tblCellSpacing w:w="15" w:type="dxa"/>
                </w:trPr>
                <w:tc>
                  <w:tcPr>
                    <w:tcW w:w="50" w:type="pct"/>
                    <w:hideMark/>
                  </w:tcPr>
                  <w:p w14:paraId="5CF69D8C"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[3] </w:t>
                    </w:r>
                  </w:p>
                </w:tc>
                <w:tc>
                  <w:tcPr>
                    <w:tcW w:w="0" w:type="auto"/>
                    <w:hideMark/>
                  </w:tcPr>
                  <w:p w14:paraId="7C06ECFB"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Rolls-Royce SMR Limited, Master Document Submission List and Document List, SMR0001724, Issue 13, May 2024. (Record ref. ONRW-2019369590-9824). </w:t>
                    </w:r>
                  </w:p>
                </w:tc>
              </w:tr>
              <w:tr w:rsidR="00BC04B5" w:rsidRPr="00BC04B5" w14:paraId="21BAC5E5" w14:textId="77777777">
                <w:trPr>
                  <w:divId w:val="516887202"/>
                  <w:tblCellSpacing w:w="15" w:type="dxa"/>
                </w:trPr>
                <w:tc>
                  <w:tcPr>
                    <w:tcW w:w="50" w:type="pct"/>
                    <w:hideMark/>
                  </w:tcPr>
                  <w:p w14:paraId="108F2744"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[4] </w:t>
                    </w:r>
                  </w:p>
                </w:tc>
                <w:tc>
                  <w:tcPr>
                    <w:tcW w:w="0" w:type="auto"/>
                    <w:hideMark/>
                  </w:tcPr>
                  <w:p w14:paraId="5EE21133"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Rolls-Royce SMR Limited, Rolls-Royce SMR – GDA Design Reference Report, SMR0009043, Issue 2, April 2023. (Record ref. ONRW-2019369590-8872). </w:t>
                    </w:r>
                  </w:p>
                </w:tc>
              </w:tr>
              <w:tr w:rsidR="00BC04B5" w:rsidRPr="00BC04B5" w14:paraId="0AB4EC38" w14:textId="77777777">
                <w:trPr>
                  <w:divId w:val="516887202"/>
                  <w:tblCellSpacing w:w="15" w:type="dxa"/>
                </w:trPr>
                <w:tc>
                  <w:tcPr>
                    <w:tcW w:w="50" w:type="pct"/>
                    <w:hideMark/>
                  </w:tcPr>
                  <w:p w14:paraId="1546990B"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[5] </w:t>
                    </w:r>
                  </w:p>
                </w:tc>
                <w:tc>
                  <w:tcPr>
                    <w:tcW w:w="0" w:type="auto"/>
                    <w:hideMark/>
                  </w:tcPr>
                  <w:p w14:paraId="5069ECF9" w14:textId="77777777" w:rsidR="00BC04B5" w:rsidRPr="006B6628" w:rsidRDefault="00BC04B5">
                    <w:pPr>
                      <w:pStyle w:val="Bibliography"/>
                      <w:rPr>
                        <w:rFonts w:asciiTheme="minorBidi" w:hAnsiTheme="minorBidi"/>
                        <w:noProof/>
                        <w:sz w:val="24"/>
                        <w:szCs w:val="24"/>
                      </w:rPr>
                    </w:pPr>
                    <w:r w:rsidRPr="006B6628">
                      <w:rPr>
                        <w:rFonts w:asciiTheme="minorBidi" w:hAnsiTheme="minorBidi"/>
                        <w:noProof/>
                        <w:sz w:val="24"/>
                        <w:szCs w:val="24"/>
                      </w:rPr>
                      <w:t xml:space="preserve">Rolls-Royce SMR Limited, Rolls-Royce SMR Generic Design Assessment Scope, SMR0002183, Issue 2, January 2023. (Record ref. ONRW-2019369590-7694). </w:t>
                    </w:r>
                  </w:p>
                </w:tc>
              </w:tr>
            </w:tbl>
            <w:p w14:paraId="49BD42E3" w14:textId="1B33E709" w:rsidR="001550CD" w:rsidRPr="00721B79" w:rsidRDefault="00620F52" w:rsidP="00427B98">
              <w:r w:rsidRPr="006B6628">
                <w:rPr>
                  <w:rFonts w:ascii="Arial" w:eastAsia="Calibri" w:hAnsi="Arial" w:cs="Arial"/>
                  <w:b/>
                  <w:bCs/>
                  <w:noProof/>
                  <w:sz w:val="24"/>
                  <w:szCs w:val="24"/>
                  <w:lang w:bidi="he-IL"/>
                </w:rPr>
                <w:fldChar w:fldCharType="end"/>
              </w:r>
            </w:p>
          </w:sdtContent>
        </w:sdt>
      </w:sdtContent>
    </w:sdt>
    <w:sectPr w:rsidR="001550CD" w:rsidRPr="00721B79">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2320" w14:textId="77777777" w:rsidR="00EC773C" w:rsidRDefault="00EC773C" w:rsidP="00F62B2C">
      <w:pPr>
        <w:spacing w:after="0" w:line="240" w:lineRule="auto"/>
      </w:pPr>
      <w:r>
        <w:separator/>
      </w:r>
    </w:p>
  </w:endnote>
  <w:endnote w:type="continuationSeparator" w:id="0">
    <w:p w14:paraId="5393EFBA" w14:textId="77777777" w:rsidR="00EC773C" w:rsidRDefault="00EC773C" w:rsidP="00F62B2C">
      <w:pPr>
        <w:spacing w:after="0" w:line="240" w:lineRule="auto"/>
      </w:pPr>
      <w:r>
        <w:continuationSeparator/>
      </w:r>
    </w:p>
  </w:endnote>
  <w:endnote w:type="continuationNotice" w:id="1">
    <w:p w14:paraId="2AA43914" w14:textId="77777777" w:rsidR="00EC773C" w:rsidRDefault="00EC7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8768" w14:textId="2B6FD151" w:rsidR="00767C56" w:rsidRPr="00767C56" w:rsidRDefault="00A0293F" w:rsidP="00EC6831">
    <w:pPr>
      <w:tabs>
        <w:tab w:val="right" w:pos="9214"/>
      </w:tabs>
      <w:spacing w:after="0" w:line="240" w:lineRule="auto"/>
      <w:rPr>
        <w:rFonts w:ascii="Arial" w:eastAsia="Times New Roman" w:hAnsi="Arial" w:cs="Times New Roman"/>
        <w:b/>
        <w:color w:val="006D68"/>
        <w:sz w:val="14"/>
        <w:szCs w:val="14"/>
      </w:rPr>
    </w:pPr>
    <w:r>
      <w:rPr>
        <w:rFonts w:ascii="Arial" w:eastAsia="Times New Roman" w:hAnsi="Arial" w:cs="Times New Roman"/>
        <w:color w:val="006D68"/>
        <w:sz w:val="14"/>
        <w:szCs w:val="14"/>
      </w:rPr>
      <w:t>ONRW</w:t>
    </w:r>
    <w:r w:rsidR="004F0A49" w:rsidRPr="004F0A49">
      <w:rPr>
        <w:rFonts w:ascii="Arial" w:eastAsia="Times New Roman" w:hAnsi="Arial" w:cs="Times New Roman"/>
        <w:color w:val="006D68"/>
        <w:sz w:val="14"/>
        <w:szCs w:val="14"/>
      </w:rPr>
      <w:t>-2019369590-9966</w:t>
    </w:r>
    <w:r w:rsidR="00767C56" w:rsidRPr="00767C56">
      <w:rPr>
        <w:rFonts w:ascii="Arial" w:eastAsia="Times New Roman" w:hAnsi="Arial" w:cs="Times New Roman"/>
        <w:color w:val="006D68"/>
        <w:sz w:val="14"/>
        <w:szCs w:val="14"/>
      </w:rPr>
      <w:tab/>
    </w:r>
    <w:r w:rsidR="00767C56" w:rsidRPr="00767C56">
      <w:rPr>
        <w:rFonts w:ascii="Arial" w:eastAsia="Times New Roman" w:hAnsi="Arial" w:cs="Times New Roman"/>
        <w:b/>
        <w:color w:val="006D68"/>
        <w:sz w:val="14"/>
        <w:szCs w:val="14"/>
      </w:rPr>
      <w:t xml:space="preserve">Page </w:t>
    </w:r>
    <w:r w:rsidR="00767C56" w:rsidRPr="00767C56">
      <w:rPr>
        <w:rFonts w:ascii="Arial" w:eastAsia="Times New Roman" w:hAnsi="Arial" w:cs="Times New Roman"/>
        <w:b/>
        <w:color w:val="006D68"/>
        <w:sz w:val="14"/>
        <w:szCs w:val="14"/>
      </w:rPr>
      <w:fldChar w:fldCharType="begin"/>
    </w:r>
    <w:r w:rsidR="00767C56" w:rsidRPr="00767C56">
      <w:rPr>
        <w:rFonts w:ascii="Arial" w:eastAsia="Times New Roman" w:hAnsi="Arial" w:cs="Times New Roman"/>
        <w:b/>
        <w:color w:val="006D68"/>
        <w:sz w:val="14"/>
        <w:szCs w:val="14"/>
      </w:rPr>
      <w:instrText xml:space="preserve"> PAGE </w:instrText>
    </w:r>
    <w:r w:rsidR="00767C56" w:rsidRPr="00767C56">
      <w:rPr>
        <w:rFonts w:ascii="Arial" w:eastAsia="Times New Roman" w:hAnsi="Arial" w:cs="Times New Roman"/>
        <w:b/>
        <w:color w:val="006D68"/>
        <w:sz w:val="14"/>
        <w:szCs w:val="14"/>
      </w:rPr>
      <w:fldChar w:fldCharType="separate"/>
    </w:r>
    <w:r w:rsidR="00767C56" w:rsidRPr="00767C56">
      <w:rPr>
        <w:rFonts w:ascii="Arial" w:eastAsia="Times New Roman" w:hAnsi="Arial" w:cs="Times New Roman"/>
        <w:b/>
        <w:color w:val="006D68"/>
        <w:sz w:val="14"/>
        <w:szCs w:val="14"/>
      </w:rPr>
      <w:t>1</w:t>
    </w:r>
    <w:r w:rsidR="00767C56" w:rsidRPr="00767C56">
      <w:rPr>
        <w:rFonts w:ascii="Arial" w:eastAsia="Times New Roman" w:hAnsi="Arial" w:cs="Times New Roman"/>
        <w:b/>
        <w:color w:val="006D68"/>
        <w:sz w:val="14"/>
        <w:szCs w:val="14"/>
      </w:rPr>
      <w:fldChar w:fldCharType="end"/>
    </w:r>
    <w:r w:rsidR="00767C56" w:rsidRPr="00767C56">
      <w:rPr>
        <w:rFonts w:ascii="Arial" w:eastAsia="Times New Roman" w:hAnsi="Arial" w:cs="Times New Roman"/>
        <w:b/>
        <w:color w:val="006D68"/>
        <w:sz w:val="14"/>
        <w:szCs w:val="14"/>
      </w:rPr>
      <w:t xml:space="preserve"> of </w:t>
    </w:r>
    <w:r w:rsidR="00767C56" w:rsidRPr="00767C56">
      <w:rPr>
        <w:rFonts w:ascii="Arial" w:eastAsia="Times New Roman" w:hAnsi="Arial" w:cs="Times New Roman"/>
        <w:b/>
        <w:color w:val="006D68"/>
        <w:sz w:val="14"/>
        <w:szCs w:val="14"/>
      </w:rPr>
      <w:fldChar w:fldCharType="begin"/>
    </w:r>
    <w:r w:rsidR="00767C56" w:rsidRPr="00767C56">
      <w:rPr>
        <w:rFonts w:ascii="Arial" w:eastAsia="Times New Roman" w:hAnsi="Arial" w:cs="Times New Roman"/>
        <w:b/>
        <w:color w:val="006D68"/>
        <w:sz w:val="14"/>
        <w:szCs w:val="14"/>
      </w:rPr>
      <w:instrText xml:space="preserve"> NUMPAGES </w:instrText>
    </w:r>
    <w:r w:rsidR="00767C56" w:rsidRPr="00767C56">
      <w:rPr>
        <w:rFonts w:ascii="Arial" w:eastAsia="Times New Roman" w:hAnsi="Arial" w:cs="Times New Roman"/>
        <w:b/>
        <w:color w:val="006D68"/>
        <w:sz w:val="14"/>
        <w:szCs w:val="14"/>
      </w:rPr>
      <w:fldChar w:fldCharType="separate"/>
    </w:r>
    <w:r w:rsidR="00767C56" w:rsidRPr="00767C56">
      <w:rPr>
        <w:rFonts w:ascii="Arial" w:eastAsia="Times New Roman" w:hAnsi="Arial" w:cs="Times New Roman"/>
        <w:b/>
        <w:color w:val="006D68"/>
        <w:sz w:val="14"/>
        <w:szCs w:val="14"/>
      </w:rPr>
      <w:t>2</w:t>
    </w:r>
    <w:r w:rsidR="00767C56" w:rsidRPr="00767C56">
      <w:rPr>
        <w:rFonts w:ascii="Arial" w:eastAsia="Times New Roman" w:hAnsi="Arial" w:cs="Times New Roman"/>
        <w:b/>
        <w:color w:val="006D68"/>
        <w:sz w:val="14"/>
        <w:szCs w:val="14"/>
      </w:rPr>
      <w:fldChar w:fldCharType="end"/>
    </w:r>
  </w:p>
  <w:p w14:paraId="141B77E0" w14:textId="77777777" w:rsidR="00767C56" w:rsidRDefault="00767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B5A4" w14:textId="77777777" w:rsidR="002435C4" w:rsidRDefault="002435C4" w:rsidP="00767C56">
    <w:pPr>
      <w:tabs>
        <w:tab w:val="right" w:pos="9214"/>
      </w:tabs>
      <w:spacing w:after="0" w:line="240" w:lineRule="auto"/>
      <w:rPr>
        <w:rFonts w:ascii="Arial" w:eastAsia="Times New Roman" w:hAnsi="Arial" w:cs="Times New Roman"/>
        <w:color w:val="006D68"/>
        <w:sz w:val="14"/>
        <w:szCs w:val="14"/>
      </w:rPr>
    </w:pPr>
    <w:r w:rsidRPr="00767C56">
      <w:rPr>
        <w:rFonts w:ascii="Arial" w:eastAsia="Times New Roman" w:hAnsi="Arial" w:cs="Times New Roman"/>
        <w:color w:val="006D68"/>
        <w:sz w:val="14"/>
        <w:szCs w:val="14"/>
      </w:rPr>
      <w:t>Office for Nuclear Regulation</w:t>
    </w:r>
  </w:p>
  <w:p w14:paraId="103933D1" w14:textId="77777777" w:rsidR="002435C4" w:rsidRDefault="002435C4" w:rsidP="00EC6831">
    <w:pPr>
      <w:tabs>
        <w:tab w:val="right" w:pos="9214"/>
      </w:tabs>
      <w:spacing w:after="0" w:line="240" w:lineRule="auto"/>
      <w:rPr>
        <w:rFonts w:ascii="Arial" w:eastAsia="Times New Roman" w:hAnsi="Arial" w:cs="Times New Roman"/>
        <w:color w:val="006D68"/>
        <w:sz w:val="14"/>
        <w:szCs w:val="14"/>
      </w:rPr>
    </w:pPr>
    <w:r w:rsidRPr="00EC6831">
      <w:rPr>
        <w:rFonts w:ascii="Arial" w:eastAsia="Times New Roman" w:hAnsi="Arial" w:cs="Times New Roman"/>
        <w:color w:val="006D68"/>
        <w:sz w:val="14"/>
        <w:szCs w:val="14"/>
      </w:rPr>
      <w:t>Generic Design Assessment</w:t>
    </w:r>
    <w:r>
      <w:rPr>
        <w:rFonts w:ascii="Arial" w:eastAsia="Times New Roman" w:hAnsi="Arial" w:cs="Times New Roman"/>
        <w:color w:val="006D68"/>
        <w:sz w:val="14"/>
        <w:szCs w:val="14"/>
      </w:rPr>
      <w:t xml:space="preserve"> </w:t>
    </w:r>
    <w:r w:rsidRPr="00EC6831">
      <w:rPr>
        <w:rFonts w:ascii="Arial" w:eastAsia="Times New Roman" w:hAnsi="Arial" w:cs="Times New Roman"/>
        <w:color w:val="006D68"/>
        <w:sz w:val="14"/>
        <w:szCs w:val="14"/>
      </w:rPr>
      <w:t>Step 2 Statement</w:t>
    </w:r>
    <w:r>
      <w:rPr>
        <w:rFonts w:ascii="Arial" w:eastAsia="Times New Roman" w:hAnsi="Arial" w:cs="Times New Roman"/>
        <w:color w:val="006D68"/>
        <w:sz w:val="14"/>
        <w:szCs w:val="14"/>
      </w:rPr>
      <w:t xml:space="preserve"> </w:t>
    </w:r>
    <w:r w:rsidRPr="00EC6831">
      <w:rPr>
        <w:rFonts w:ascii="Arial" w:eastAsia="Times New Roman" w:hAnsi="Arial" w:cs="Times New Roman"/>
        <w:color w:val="006D68"/>
        <w:sz w:val="14"/>
        <w:szCs w:val="14"/>
      </w:rPr>
      <w:t>for the Rolls-Royce SMR</w:t>
    </w:r>
  </w:p>
  <w:p w14:paraId="7D85873A" w14:textId="4C6A774E" w:rsidR="002435C4" w:rsidRPr="00767C56" w:rsidRDefault="002435C4" w:rsidP="00EC6831">
    <w:pPr>
      <w:tabs>
        <w:tab w:val="right" w:pos="9214"/>
      </w:tabs>
      <w:spacing w:after="0" w:line="240" w:lineRule="auto"/>
      <w:rPr>
        <w:rFonts w:ascii="Arial" w:eastAsia="Times New Roman" w:hAnsi="Arial" w:cs="Times New Roman"/>
        <w:b/>
        <w:color w:val="006D68"/>
        <w:sz w:val="14"/>
        <w:szCs w:val="14"/>
      </w:rPr>
    </w:pPr>
    <w:r>
      <w:rPr>
        <w:rFonts w:ascii="Arial" w:eastAsia="Times New Roman" w:hAnsi="Arial" w:cs="Times New Roman"/>
        <w:color w:val="006D68"/>
        <w:sz w:val="14"/>
        <w:szCs w:val="14"/>
      </w:rPr>
      <w:t>ONRW-</w:t>
    </w:r>
    <w:r w:rsidRPr="004F0A49">
      <w:rPr>
        <w:rFonts w:ascii="Arial" w:eastAsia="Times New Roman" w:hAnsi="Arial" w:cs="Times New Roman"/>
        <w:color w:val="006D68"/>
        <w:sz w:val="14"/>
        <w:szCs w:val="14"/>
      </w:rPr>
      <w:t>2019369590-9966</w:t>
    </w:r>
    <w:r w:rsidRPr="00767C56">
      <w:rPr>
        <w:rFonts w:ascii="Arial" w:eastAsia="Times New Roman" w:hAnsi="Arial" w:cs="Times New Roman"/>
        <w:color w:val="006D68"/>
        <w:sz w:val="14"/>
        <w:szCs w:val="14"/>
      </w:rPr>
      <w:tab/>
    </w:r>
    <w:r w:rsidRPr="00767C56">
      <w:rPr>
        <w:rFonts w:ascii="Arial" w:eastAsia="Times New Roman" w:hAnsi="Arial" w:cs="Times New Roman"/>
        <w:b/>
        <w:color w:val="006D68"/>
        <w:sz w:val="14"/>
        <w:szCs w:val="14"/>
      </w:rPr>
      <w:t xml:space="preserve">Page </w:t>
    </w:r>
    <w:r w:rsidRPr="00767C56">
      <w:rPr>
        <w:rFonts w:ascii="Arial" w:eastAsia="Times New Roman" w:hAnsi="Arial" w:cs="Times New Roman"/>
        <w:b/>
        <w:color w:val="006D68"/>
        <w:sz w:val="14"/>
        <w:szCs w:val="14"/>
      </w:rPr>
      <w:fldChar w:fldCharType="begin"/>
    </w:r>
    <w:r w:rsidRPr="00767C56">
      <w:rPr>
        <w:rFonts w:ascii="Arial" w:eastAsia="Times New Roman" w:hAnsi="Arial" w:cs="Times New Roman"/>
        <w:b/>
        <w:color w:val="006D68"/>
        <w:sz w:val="14"/>
        <w:szCs w:val="14"/>
      </w:rPr>
      <w:instrText xml:space="preserve"> PAGE </w:instrText>
    </w:r>
    <w:r w:rsidRPr="00767C56">
      <w:rPr>
        <w:rFonts w:ascii="Arial" w:eastAsia="Times New Roman" w:hAnsi="Arial" w:cs="Times New Roman"/>
        <w:b/>
        <w:color w:val="006D68"/>
        <w:sz w:val="14"/>
        <w:szCs w:val="14"/>
      </w:rPr>
      <w:fldChar w:fldCharType="separate"/>
    </w:r>
    <w:r w:rsidRPr="00767C56">
      <w:rPr>
        <w:rFonts w:ascii="Arial" w:eastAsia="Times New Roman" w:hAnsi="Arial" w:cs="Times New Roman"/>
        <w:b/>
        <w:color w:val="006D68"/>
        <w:sz w:val="14"/>
        <w:szCs w:val="14"/>
      </w:rPr>
      <w:t>1</w:t>
    </w:r>
    <w:r w:rsidRPr="00767C56">
      <w:rPr>
        <w:rFonts w:ascii="Arial" w:eastAsia="Times New Roman" w:hAnsi="Arial" w:cs="Times New Roman"/>
        <w:b/>
        <w:color w:val="006D68"/>
        <w:sz w:val="14"/>
        <w:szCs w:val="14"/>
      </w:rPr>
      <w:fldChar w:fldCharType="end"/>
    </w:r>
    <w:r w:rsidRPr="00767C56">
      <w:rPr>
        <w:rFonts w:ascii="Arial" w:eastAsia="Times New Roman" w:hAnsi="Arial" w:cs="Times New Roman"/>
        <w:b/>
        <w:color w:val="006D68"/>
        <w:sz w:val="14"/>
        <w:szCs w:val="14"/>
      </w:rPr>
      <w:t xml:space="preserve"> of </w:t>
    </w:r>
    <w:r w:rsidRPr="00767C56">
      <w:rPr>
        <w:rFonts w:ascii="Arial" w:eastAsia="Times New Roman" w:hAnsi="Arial" w:cs="Times New Roman"/>
        <w:b/>
        <w:color w:val="006D68"/>
        <w:sz w:val="14"/>
        <w:szCs w:val="14"/>
      </w:rPr>
      <w:fldChar w:fldCharType="begin"/>
    </w:r>
    <w:r w:rsidRPr="00767C56">
      <w:rPr>
        <w:rFonts w:ascii="Arial" w:eastAsia="Times New Roman" w:hAnsi="Arial" w:cs="Times New Roman"/>
        <w:b/>
        <w:color w:val="006D68"/>
        <w:sz w:val="14"/>
        <w:szCs w:val="14"/>
      </w:rPr>
      <w:instrText xml:space="preserve"> NUMPAGES </w:instrText>
    </w:r>
    <w:r w:rsidRPr="00767C56">
      <w:rPr>
        <w:rFonts w:ascii="Arial" w:eastAsia="Times New Roman" w:hAnsi="Arial" w:cs="Times New Roman"/>
        <w:b/>
        <w:color w:val="006D68"/>
        <w:sz w:val="14"/>
        <w:szCs w:val="14"/>
      </w:rPr>
      <w:fldChar w:fldCharType="separate"/>
    </w:r>
    <w:r w:rsidRPr="00767C56">
      <w:rPr>
        <w:rFonts w:ascii="Arial" w:eastAsia="Times New Roman" w:hAnsi="Arial" w:cs="Times New Roman"/>
        <w:b/>
        <w:color w:val="006D68"/>
        <w:sz w:val="14"/>
        <w:szCs w:val="14"/>
      </w:rPr>
      <w:t>2</w:t>
    </w:r>
    <w:r w:rsidRPr="00767C56">
      <w:rPr>
        <w:rFonts w:ascii="Arial" w:eastAsia="Times New Roman" w:hAnsi="Arial" w:cs="Times New Roman"/>
        <w:b/>
        <w:color w:val="006D68"/>
        <w:sz w:val="14"/>
        <w:szCs w:val="14"/>
      </w:rPr>
      <w:fldChar w:fldCharType="end"/>
    </w:r>
  </w:p>
  <w:p w14:paraId="06A1C604" w14:textId="77777777" w:rsidR="002435C4" w:rsidRDefault="0024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1B03" w14:textId="77777777" w:rsidR="00EC773C" w:rsidRDefault="00EC773C" w:rsidP="00F62B2C">
      <w:pPr>
        <w:spacing w:after="0" w:line="240" w:lineRule="auto"/>
      </w:pPr>
      <w:r>
        <w:separator/>
      </w:r>
    </w:p>
  </w:footnote>
  <w:footnote w:type="continuationSeparator" w:id="0">
    <w:p w14:paraId="22869BD6" w14:textId="77777777" w:rsidR="00EC773C" w:rsidRDefault="00EC773C" w:rsidP="00F62B2C">
      <w:pPr>
        <w:spacing w:after="0" w:line="240" w:lineRule="auto"/>
      </w:pPr>
      <w:r>
        <w:continuationSeparator/>
      </w:r>
    </w:p>
  </w:footnote>
  <w:footnote w:type="continuationNotice" w:id="1">
    <w:p w14:paraId="40D7F877" w14:textId="77777777" w:rsidR="00EC773C" w:rsidRDefault="00EC7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1D6E" w14:textId="54E5DBAB" w:rsidR="00F62B2C" w:rsidRDefault="00061A2A">
    <w:pPr>
      <w:pStyle w:val="Header"/>
    </w:pPr>
    <w:r w:rsidRPr="00EC6831">
      <w:rPr>
        <w:rFonts w:asciiTheme="minorBidi" w:hAnsiTheme="minorBidi"/>
        <w:b/>
        <w:bCs/>
        <w:noProof/>
        <w:sz w:val="40"/>
        <w:szCs w:val="40"/>
      </w:rPr>
      <mc:AlternateContent>
        <mc:Choice Requires="wps">
          <w:drawing>
            <wp:anchor distT="0" distB="0" distL="114300" distR="114300" simplePos="0" relativeHeight="251658240" behindDoc="0" locked="0" layoutInCell="1" allowOverlap="1" wp14:anchorId="48CFB37E" wp14:editId="1270A3B8">
              <wp:simplePos x="0" y="0"/>
              <wp:positionH relativeFrom="margin">
                <wp:align>center</wp:align>
              </wp:positionH>
              <wp:positionV relativeFrom="paragraph">
                <wp:posOffset>-277495</wp:posOffset>
              </wp:positionV>
              <wp:extent cx="7191375" cy="10334625"/>
              <wp:effectExtent l="19050" t="1905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1375" cy="10334625"/>
                      </a:xfrm>
                      <a:prstGeom prst="rect">
                        <a:avLst/>
                      </a:prstGeom>
                      <a:noFill/>
                      <a:ln w="317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7C5E0" id="Rectangle 2" o:spid="_x0000_s1026" alt="&quot;&quot;" style="position:absolute;margin-left:0;margin-top:-21.85pt;width:566.25pt;height:81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" filled="f" strokecolor="#09101d [484]" strokeweight="2.5pt">
              <w10:wrap anchorx="margin"/>
            </v:rect>
          </w:pict>
        </mc:Fallback>
      </mc:AlternateContent>
    </w:r>
  </w:p>
  <w:sdt>
    <w:sdtPr>
      <w:id w:val="-293830240"/>
      <w:docPartObj>
        <w:docPartGallery w:val="Watermarks"/>
        <w:docPartUnique/>
      </w:docPartObj>
    </w:sdtPr>
    <w:sdtEndPr/>
    <w:sdtContent>
      <w:p w14:paraId="568B6D6F" w14:textId="5291E470" w:rsidR="00F62B2C" w:rsidRDefault="00D366A1">
        <w:pPr>
          <w:pStyle w:val="Header"/>
        </w:pPr>
        <w:r>
          <w:rPr>
            <w:noProof/>
          </w:rPr>
          <w:drawing>
            <wp:anchor distT="0" distB="0" distL="114300" distR="114300" simplePos="0" relativeHeight="251658241" behindDoc="0" locked="0" layoutInCell="1" allowOverlap="1" wp14:anchorId="1982E97A" wp14:editId="0645748F">
              <wp:simplePos x="0" y="0"/>
              <wp:positionH relativeFrom="page">
                <wp:posOffset>252095</wp:posOffset>
              </wp:positionH>
              <wp:positionV relativeFrom="page">
                <wp:posOffset>252095</wp:posOffset>
              </wp:positionV>
              <wp:extent cx="2895600" cy="63817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956" w:rsidRPr="00EE2956">
          <w:rPr>
            <w:rFonts w:asciiTheme="minorBidi" w:hAnsiTheme="minorBidi"/>
            <w:b/>
            <w:bCs/>
            <w:noProof/>
            <w:sz w:val="40"/>
            <w:szCs w:val="40"/>
          </w:rPr>
          <w:t xml:space="preserve"> </w:t>
        </w:r>
      </w:p>
    </w:sdtContent>
  </w:sdt>
  <w:p w14:paraId="3BA2C43D" w14:textId="77777777" w:rsidR="00767C56" w:rsidRDefault="00767C56">
    <w:pPr>
      <w:pStyle w:val="Header"/>
    </w:pPr>
  </w:p>
  <w:p w14:paraId="052CC3A4" w14:textId="05A3A987" w:rsidR="00767C56" w:rsidRDefault="00767C56">
    <w:pPr>
      <w:pStyle w:val="Header"/>
    </w:pPr>
  </w:p>
  <w:p w14:paraId="2E1FF078" w14:textId="77777777" w:rsidR="008D17F0" w:rsidRDefault="008D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AD61" w14:textId="6FA56763" w:rsidR="00F06134" w:rsidRDefault="00F06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F381" w14:textId="377C40CB" w:rsidR="002435C4" w:rsidRDefault="002435C4">
    <w:pPr>
      <w:pStyle w:val="Header"/>
    </w:pPr>
  </w:p>
  <w:sdt>
    <w:sdtPr>
      <w:id w:val="462856574"/>
      <w:docPartObj>
        <w:docPartGallery w:val="Watermarks"/>
        <w:docPartUnique/>
      </w:docPartObj>
    </w:sdtPr>
    <w:sdtEndPr/>
    <w:sdtContent>
      <w:p w14:paraId="16AA74A0" w14:textId="77777777" w:rsidR="002435C4" w:rsidRDefault="002435C4">
        <w:pPr>
          <w:pStyle w:val="Header"/>
        </w:pPr>
        <w:r>
          <w:rPr>
            <w:noProof/>
          </w:rPr>
          <w:drawing>
            <wp:anchor distT="0" distB="0" distL="114300" distR="114300" simplePos="0" relativeHeight="251658242" behindDoc="0" locked="0" layoutInCell="1" allowOverlap="1" wp14:anchorId="440CF85B" wp14:editId="31953398">
              <wp:simplePos x="0" y="0"/>
              <wp:positionH relativeFrom="page">
                <wp:posOffset>252095</wp:posOffset>
              </wp:positionH>
              <wp:positionV relativeFrom="page">
                <wp:posOffset>252095</wp:posOffset>
              </wp:positionV>
              <wp:extent cx="2895600" cy="638175"/>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956">
          <w:rPr>
            <w:rFonts w:asciiTheme="minorBidi" w:hAnsiTheme="minorBidi"/>
            <w:b/>
            <w:bCs/>
            <w:noProof/>
            <w:sz w:val="40"/>
            <w:szCs w:val="40"/>
          </w:rPr>
          <w:t xml:space="preserve"> </w:t>
        </w:r>
      </w:p>
    </w:sdtContent>
  </w:sdt>
  <w:p w14:paraId="653B819D" w14:textId="77777777" w:rsidR="002435C4" w:rsidRDefault="002435C4">
    <w:pPr>
      <w:pStyle w:val="Header"/>
    </w:pPr>
  </w:p>
  <w:p w14:paraId="36E85780" w14:textId="77777777" w:rsidR="002435C4" w:rsidRDefault="002435C4">
    <w:pPr>
      <w:pStyle w:val="Header"/>
    </w:pPr>
  </w:p>
  <w:p w14:paraId="0A719FD2" w14:textId="77777777" w:rsidR="002435C4" w:rsidRDefault="002435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C238" w14:textId="11291208" w:rsidR="00F06134" w:rsidRDefault="00F06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7EDF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E225A"/>
    <w:multiLevelType w:val="hybridMultilevel"/>
    <w:tmpl w:val="DFC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25A13"/>
    <w:multiLevelType w:val="hybridMultilevel"/>
    <w:tmpl w:val="827A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5CD4"/>
    <w:multiLevelType w:val="hybridMultilevel"/>
    <w:tmpl w:val="18A8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4502E"/>
    <w:multiLevelType w:val="hybridMultilevel"/>
    <w:tmpl w:val="98AA56D8"/>
    <w:lvl w:ilvl="0" w:tplc="0B344126">
      <w:start w:val="1"/>
      <w:numFmt w:val="decimal"/>
      <w:pStyle w:val="Numberedparagraph"/>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53A44"/>
    <w:multiLevelType w:val="hybridMultilevel"/>
    <w:tmpl w:val="FCE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016F8"/>
    <w:multiLevelType w:val="hybridMultilevel"/>
    <w:tmpl w:val="D89A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E5383"/>
    <w:multiLevelType w:val="hybridMultilevel"/>
    <w:tmpl w:val="1DFA7142"/>
    <w:lvl w:ilvl="0" w:tplc="7FEA94AE">
      <w:start w:val="1"/>
      <w:numFmt w:val="bullet"/>
      <w:lvlText w:val=""/>
      <w:lvlJc w:val="left"/>
      <w:pPr>
        <w:ind w:left="720" w:hanging="360"/>
      </w:pPr>
      <w:rPr>
        <w:rFonts w:ascii="Symbol" w:hAnsi="Symbol"/>
      </w:rPr>
    </w:lvl>
    <w:lvl w:ilvl="1" w:tplc="75D4C416">
      <w:start w:val="1"/>
      <w:numFmt w:val="bullet"/>
      <w:lvlText w:val=""/>
      <w:lvlJc w:val="left"/>
      <w:pPr>
        <w:ind w:left="720" w:hanging="360"/>
      </w:pPr>
      <w:rPr>
        <w:rFonts w:ascii="Symbol" w:hAnsi="Symbol"/>
      </w:rPr>
    </w:lvl>
    <w:lvl w:ilvl="2" w:tplc="1FD81058">
      <w:start w:val="1"/>
      <w:numFmt w:val="bullet"/>
      <w:lvlText w:val=""/>
      <w:lvlJc w:val="left"/>
      <w:pPr>
        <w:ind w:left="720" w:hanging="360"/>
      </w:pPr>
      <w:rPr>
        <w:rFonts w:ascii="Symbol" w:hAnsi="Symbol"/>
      </w:rPr>
    </w:lvl>
    <w:lvl w:ilvl="3" w:tplc="709C75CC">
      <w:start w:val="1"/>
      <w:numFmt w:val="bullet"/>
      <w:lvlText w:val=""/>
      <w:lvlJc w:val="left"/>
      <w:pPr>
        <w:ind w:left="720" w:hanging="360"/>
      </w:pPr>
      <w:rPr>
        <w:rFonts w:ascii="Symbol" w:hAnsi="Symbol"/>
      </w:rPr>
    </w:lvl>
    <w:lvl w:ilvl="4" w:tplc="8FF2C3C2">
      <w:start w:val="1"/>
      <w:numFmt w:val="bullet"/>
      <w:lvlText w:val=""/>
      <w:lvlJc w:val="left"/>
      <w:pPr>
        <w:ind w:left="720" w:hanging="360"/>
      </w:pPr>
      <w:rPr>
        <w:rFonts w:ascii="Symbol" w:hAnsi="Symbol"/>
      </w:rPr>
    </w:lvl>
    <w:lvl w:ilvl="5" w:tplc="92A41A86">
      <w:start w:val="1"/>
      <w:numFmt w:val="bullet"/>
      <w:lvlText w:val=""/>
      <w:lvlJc w:val="left"/>
      <w:pPr>
        <w:ind w:left="720" w:hanging="360"/>
      </w:pPr>
      <w:rPr>
        <w:rFonts w:ascii="Symbol" w:hAnsi="Symbol"/>
      </w:rPr>
    </w:lvl>
    <w:lvl w:ilvl="6" w:tplc="D492719C">
      <w:start w:val="1"/>
      <w:numFmt w:val="bullet"/>
      <w:lvlText w:val=""/>
      <w:lvlJc w:val="left"/>
      <w:pPr>
        <w:ind w:left="720" w:hanging="360"/>
      </w:pPr>
      <w:rPr>
        <w:rFonts w:ascii="Symbol" w:hAnsi="Symbol"/>
      </w:rPr>
    </w:lvl>
    <w:lvl w:ilvl="7" w:tplc="CB0AEABE">
      <w:start w:val="1"/>
      <w:numFmt w:val="bullet"/>
      <w:lvlText w:val=""/>
      <w:lvlJc w:val="left"/>
      <w:pPr>
        <w:ind w:left="720" w:hanging="360"/>
      </w:pPr>
      <w:rPr>
        <w:rFonts w:ascii="Symbol" w:hAnsi="Symbol"/>
      </w:rPr>
    </w:lvl>
    <w:lvl w:ilvl="8" w:tplc="1920629A">
      <w:start w:val="1"/>
      <w:numFmt w:val="bullet"/>
      <w:lvlText w:val=""/>
      <w:lvlJc w:val="left"/>
      <w:pPr>
        <w:ind w:left="720" w:hanging="360"/>
      </w:pPr>
      <w:rPr>
        <w:rFonts w:ascii="Symbol" w:hAnsi="Symbol"/>
      </w:rPr>
    </w:lvl>
  </w:abstractNum>
  <w:abstractNum w:abstractNumId="8" w15:restartNumberingAfterBreak="0">
    <w:nsid w:val="685A0551"/>
    <w:multiLevelType w:val="hybridMultilevel"/>
    <w:tmpl w:val="4B046E58"/>
    <w:lvl w:ilvl="0" w:tplc="9342C966">
      <w:start w:val="1"/>
      <w:numFmt w:val="bullet"/>
      <w:lvlText w:val=""/>
      <w:lvlJc w:val="left"/>
      <w:pPr>
        <w:ind w:left="720" w:hanging="360"/>
      </w:pPr>
      <w:rPr>
        <w:rFonts w:ascii="Symbol" w:hAnsi="Symbol"/>
      </w:rPr>
    </w:lvl>
    <w:lvl w:ilvl="1" w:tplc="DEAC2BC0">
      <w:start w:val="1"/>
      <w:numFmt w:val="bullet"/>
      <w:lvlText w:val=""/>
      <w:lvlJc w:val="left"/>
      <w:pPr>
        <w:ind w:left="720" w:hanging="360"/>
      </w:pPr>
      <w:rPr>
        <w:rFonts w:ascii="Symbol" w:hAnsi="Symbol"/>
      </w:rPr>
    </w:lvl>
    <w:lvl w:ilvl="2" w:tplc="C2C8EEF4">
      <w:start w:val="1"/>
      <w:numFmt w:val="bullet"/>
      <w:lvlText w:val=""/>
      <w:lvlJc w:val="left"/>
      <w:pPr>
        <w:ind w:left="720" w:hanging="360"/>
      </w:pPr>
      <w:rPr>
        <w:rFonts w:ascii="Symbol" w:hAnsi="Symbol"/>
      </w:rPr>
    </w:lvl>
    <w:lvl w:ilvl="3" w:tplc="ADA2D306">
      <w:start w:val="1"/>
      <w:numFmt w:val="bullet"/>
      <w:lvlText w:val=""/>
      <w:lvlJc w:val="left"/>
      <w:pPr>
        <w:ind w:left="720" w:hanging="360"/>
      </w:pPr>
      <w:rPr>
        <w:rFonts w:ascii="Symbol" w:hAnsi="Symbol"/>
      </w:rPr>
    </w:lvl>
    <w:lvl w:ilvl="4" w:tplc="09A69A60">
      <w:start w:val="1"/>
      <w:numFmt w:val="bullet"/>
      <w:lvlText w:val=""/>
      <w:lvlJc w:val="left"/>
      <w:pPr>
        <w:ind w:left="720" w:hanging="360"/>
      </w:pPr>
      <w:rPr>
        <w:rFonts w:ascii="Symbol" w:hAnsi="Symbol"/>
      </w:rPr>
    </w:lvl>
    <w:lvl w:ilvl="5" w:tplc="DA1AB216">
      <w:start w:val="1"/>
      <w:numFmt w:val="bullet"/>
      <w:lvlText w:val=""/>
      <w:lvlJc w:val="left"/>
      <w:pPr>
        <w:ind w:left="720" w:hanging="360"/>
      </w:pPr>
      <w:rPr>
        <w:rFonts w:ascii="Symbol" w:hAnsi="Symbol"/>
      </w:rPr>
    </w:lvl>
    <w:lvl w:ilvl="6" w:tplc="80244C2E">
      <w:start w:val="1"/>
      <w:numFmt w:val="bullet"/>
      <w:lvlText w:val=""/>
      <w:lvlJc w:val="left"/>
      <w:pPr>
        <w:ind w:left="720" w:hanging="360"/>
      </w:pPr>
      <w:rPr>
        <w:rFonts w:ascii="Symbol" w:hAnsi="Symbol"/>
      </w:rPr>
    </w:lvl>
    <w:lvl w:ilvl="7" w:tplc="DD64D5BE">
      <w:start w:val="1"/>
      <w:numFmt w:val="bullet"/>
      <w:lvlText w:val=""/>
      <w:lvlJc w:val="left"/>
      <w:pPr>
        <w:ind w:left="720" w:hanging="360"/>
      </w:pPr>
      <w:rPr>
        <w:rFonts w:ascii="Symbol" w:hAnsi="Symbol"/>
      </w:rPr>
    </w:lvl>
    <w:lvl w:ilvl="8" w:tplc="8C1ED95C">
      <w:start w:val="1"/>
      <w:numFmt w:val="bullet"/>
      <w:lvlText w:val=""/>
      <w:lvlJc w:val="left"/>
      <w:pPr>
        <w:ind w:left="720" w:hanging="360"/>
      </w:pPr>
      <w:rPr>
        <w:rFonts w:ascii="Symbol" w:hAnsi="Symbol"/>
      </w:rPr>
    </w:lvl>
  </w:abstractNum>
  <w:abstractNum w:abstractNumId="9" w15:restartNumberingAfterBreak="0">
    <w:nsid w:val="6DCC0C99"/>
    <w:multiLevelType w:val="hybridMultilevel"/>
    <w:tmpl w:val="FF66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901946">
    <w:abstractNumId w:val="1"/>
  </w:num>
  <w:num w:numId="2" w16cid:durableId="303463453">
    <w:abstractNumId w:val="4"/>
  </w:num>
  <w:num w:numId="3" w16cid:durableId="1742560849">
    <w:abstractNumId w:val="3"/>
  </w:num>
  <w:num w:numId="4" w16cid:durableId="1880582875">
    <w:abstractNumId w:val="4"/>
  </w:num>
  <w:num w:numId="5" w16cid:durableId="1554851024">
    <w:abstractNumId w:val="9"/>
  </w:num>
  <w:num w:numId="6" w16cid:durableId="1471898887">
    <w:abstractNumId w:val="2"/>
  </w:num>
  <w:num w:numId="7" w16cid:durableId="631713108">
    <w:abstractNumId w:val="6"/>
  </w:num>
  <w:num w:numId="8" w16cid:durableId="416363107">
    <w:abstractNumId w:val="8"/>
  </w:num>
  <w:num w:numId="9" w16cid:durableId="59404738">
    <w:abstractNumId w:val="7"/>
  </w:num>
  <w:num w:numId="10" w16cid:durableId="2097288520">
    <w:abstractNumId w:val="4"/>
  </w:num>
  <w:num w:numId="11" w16cid:durableId="1176724934">
    <w:abstractNumId w:val="5"/>
  </w:num>
  <w:num w:numId="12" w16cid:durableId="113914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07"/>
    <w:rsid w:val="000019A0"/>
    <w:rsid w:val="00004F15"/>
    <w:rsid w:val="000059A5"/>
    <w:rsid w:val="00007592"/>
    <w:rsid w:val="00014743"/>
    <w:rsid w:val="00021083"/>
    <w:rsid w:val="000347BF"/>
    <w:rsid w:val="000377B1"/>
    <w:rsid w:val="00040E4F"/>
    <w:rsid w:val="00041E30"/>
    <w:rsid w:val="00042525"/>
    <w:rsid w:val="0004567D"/>
    <w:rsid w:val="00047096"/>
    <w:rsid w:val="0004746A"/>
    <w:rsid w:val="00047F3F"/>
    <w:rsid w:val="0005276A"/>
    <w:rsid w:val="000531ED"/>
    <w:rsid w:val="00055D12"/>
    <w:rsid w:val="000567FA"/>
    <w:rsid w:val="000574B3"/>
    <w:rsid w:val="0005752C"/>
    <w:rsid w:val="000577B4"/>
    <w:rsid w:val="00060830"/>
    <w:rsid w:val="00061A2A"/>
    <w:rsid w:val="000633AF"/>
    <w:rsid w:val="00070152"/>
    <w:rsid w:val="0007597C"/>
    <w:rsid w:val="000771A0"/>
    <w:rsid w:val="00084C8D"/>
    <w:rsid w:val="00087D4D"/>
    <w:rsid w:val="000A3282"/>
    <w:rsid w:val="000B04D8"/>
    <w:rsid w:val="000B365D"/>
    <w:rsid w:val="000B3B08"/>
    <w:rsid w:val="000B47C1"/>
    <w:rsid w:val="000C0FDD"/>
    <w:rsid w:val="000C1F82"/>
    <w:rsid w:val="000C4E55"/>
    <w:rsid w:val="000D4158"/>
    <w:rsid w:val="000E0A67"/>
    <w:rsid w:val="000E1B91"/>
    <w:rsid w:val="000E3A13"/>
    <w:rsid w:val="000E4F64"/>
    <w:rsid w:val="000F0F86"/>
    <w:rsid w:val="000F2C91"/>
    <w:rsid w:val="000F617E"/>
    <w:rsid w:val="000F738E"/>
    <w:rsid w:val="0010224E"/>
    <w:rsid w:val="00112D02"/>
    <w:rsid w:val="00115AB5"/>
    <w:rsid w:val="00140F15"/>
    <w:rsid w:val="00141903"/>
    <w:rsid w:val="00143E94"/>
    <w:rsid w:val="00146993"/>
    <w:rsid w:val="00150151"/>
    <w:rsid w:val="0015467D"/>
    <w:rsid w:val="00154F82"/>
    <w:rsid w:val="001550CD"/>
    <w:rsid w:val="00155ED7"/>
    <w:rsid w:val="00160C81"/>
    <w:rsid w:val="00161222"/>
    <w:rsid w:val="0016670C"/>
    <w:rsid w:val="0018636B"/>
    <w:rsid w:val="00193624"/>
    <w:rsid w:val="00194857"/>
    <w:rsid w:val="001974E2"/>
    <w:rsid w:val="001B652A"/>
    <w:rsid w:val="001B733D"/>
    <w:rsid w:val="001C3EE4"/>
    <w:rsid w:val="001D3A3E"/>
    <w:rsid w:val="001E4034"/>
    <w:rsid w:val="001E768E"/>
    <w:rsid w:val="001F0C7A"/>
    <w:rsid w:val="001F36EA"/>
    <w:rsid w:val="00202F0A"/>
    <w:rsid w:val="0020305C"/>
    <w:rsid w:val="00205845"/>
    <w:rsid w:val="00212904"/>
    <w:rsid w:val="002130C7"/>
    <w:rsid w:val="00222009"/>
    <w:rsid w:val="00223918"/>
    <w:rsid w:val="002269A8"/>
    <w:rsid w:val="002347DE"/>
    <w:rsid w:val="00237601"/>
    <w:rsid w:val="00240CF8"/>
    <w:rsid w:val="002435C4"/>
    <w:rsid w:val="002454E0"/>
    <w:rsid w:val="00254D5D"/>
    <w:rsid w:val="0026074D"/>
    <w:rsid w:val="00260EA2"/>
    <w:rsid w:val="002728E5"/>
    <w:rsid w:val="00272D07"/>
    <w:rsid w:val="00273C14"/>
    <w:rsid w:val="00275557"/>
    <w:rsid w:val="0027759E"/>
    <w:rsid w:val="00291A71"/>
    <w:rsid w:val="00293091"/>
    <w:rsid w:val="00293500"/>
    <w:rsid w:val="00294E09"/>
    <w:rsid w:val="002A51D2"/>
    <w:rsid w:val="002A7105"/>
    <w:rsid w:val="002B192F"/>
    <w:rsid w:val="002B6255"/>
    <w:rsid w:val="002C3038"/>
    <w:rsid w:val="002D7FB8"/>
    <w:rsid w:val="002E222A"/>
    <w:rsid w:val="002E3886"/>
    <w:rsid w:val="002E5C48"/>
    <w:rsid w:val="002F5ADA"/>
    <w:rsid w:val="0030779F"/>
    <w:rsid w:val="003101FD"/>
    <w:rsid w:val="00314997"/>
    <w:rsid w:val="00320673"/>
    <w:rsid w:val="00322A4D"/>
    <w:rsid w:val="0032466C"/>
    <w:rsid w:val="00324B8C"/>
    <w:rsid w:val="00326138"/>
    <w:rsid w:val="00327D9A"/>
    <w:rsid w:val="00330749"/>
    <w:rsid w:val="00330BD2"/>
    <w:rsid w:val="00345513"/>
    <w:rsid w:val="00357CC4"/>
    <w:rsid w:val="00361641"/>
    <w:rsid w:val="00365EB6"/>
    <w:rsid w:val="003661A9"/>
    <w:rsid w:val="00367DCB"/>
    <w:rsid w:val="0037071A"/>
    <w:rsid w:val="003726C2"/>
    <w:rsid w:val="00376BBA"/>
    <w:rsid w:val="003811DD"/>
    <w:rsid w:val="00382498"/>
    <w:rsid w:val="0038692E"/>
    <w:rsid w:val="00386DA0"/>
    <w:rsid w:val="003911BE"/>
    <w:rsid w:val="00392C93"/>
    <w:rsid w:val="003A16DD"/>
    <w:rsid w:val="003A4B16"/>
    <w:rsid w:val="003B35B4"/>
    <w:rsid w:val="003B44E2"/>
    <w:rsid w:val="003B4EAB"/>
    <w:rsid w:val="003C2871"/>
    <w:rsid w:val="003C29BE"/>
    <w:rsid w:val="003D163F"/>
    <w:rsid w:val="003D3FD9"/>
    <w:rsid w:val="003F3DF6"/>
    <w:rsid w:val="00403E91"/>
    <w:rsid w:val="004170BC"/>
    <w:rsid w:val="00420832"/>
    <w:rsid w:val="0042149B"/>
    <w:rsid w:val="0042760B"/>
    <w:rsid w:val="00427B98"/>
    <w:rsid w:val="004318EE"/>
    <w:rsid w:val="00431F21"/>
    <w:rsid w:val="004338EE"/>
    <w:rsid w:val="0044111F"/>
    <w:rsid w:val="00441ACB"/>
    <w:rsid w:val="004457DB"/>
    <w:rsid w:val="0046565A"/>
    <w:rsid w:val="00474313"/>
    <w:rsid w:val="00475E0A"/>
    <w:rsid w:val="00491907"/>
    <w:rsid w:val="004930EF"/>
    <w:rsid w:val="00497521"/>
    <w:rsid w:val="00497A63"/>
    <w:rsid w:val="004A0C66"/>
    <w:rsid w:val="004A1F1A"/>
    <w:rsid w:val="004A26C8"/>
    <w:rsid w:val="004B0F0E"/>
    <w:rsid w:val="004B1059"/>
    <w:rsid w:val="004B32AD"/>
    <w:rsid w:val="004C0CE2"/>
    <w:rsid w:val="004C3EDC"/>
    <w:rsid w:val="004E086A"/>
    <w:rsid w:val="004E2FE1"/>
    <w:rsid w:val="004E6146"/>
    <w:rsid w:val="004F0A49"/>
    <w:rsid w:val="004F1290"/>
    <w:rsid w:val="004F4728"/>
    <w:rsid w:val="004F6F3E"/>
    <w:rsid w:val="005015B5"/>
    <w:rsid w:val="00510D16"/>
    <w:rsid w:val="00521D83"/>
    <w:rsid w:val="00523497"/>
    <w:rsid w:val="00526860"/>
    <w:rsid w:val="005301E0"/>
    <w:rsid w:val="005343E4"/>
    <w:rsid w:val="00534D89"/>
    <w:rsid w:val="00534F6D"/>
    <w:rsid w:val="00536DD9"/>
    <w:rsid w:val="005474DB"/>
    <w:rsid w:val="00547BF2"/>
    <w:rsid w:val="005518CD"/>
    <w:rsid w:val="00557CA6"/>
    <w:rsid w:val="0056542B"/>
    <w:rsid w:val="00565C63"/>
    <w:rsid w:val="005761AE"/>
    <w:rsid w:val="00580174"/>
    <w:rsid w:val="00584626"/>
    <w:rsid w:val="005860AA"/>
    <w:rsid w:val="00590F16"/>
    <w:rsid w:val="00591BD9"/>
    <w:rsid w:val="005920F8"/>
    <w:rsid w:val="005969D2"/>
    <w:rsid w:val="005A2544"/>
    <w:rsid w:val="005A6044"/>
    <w:rsid w:val="005B2210"/>
    <w:rsid w:val="005B3C22"/>
    <w:rsid w:val="005B4BF5"/>
    <w:rsid w:val="005C5892"/>
    <w:rsid w:val="005E0173"/>
    <w:rsid w:val="005E6A71"/>
    <w:rsid w:val="005F0F7B"/>
    <w:rsid w:val="005F206A"/>
    <w:rsid w:val="005F717F"/>
    <w:rsid w:val="006152AF"/>
    <w:rsid w:val="006158E6"/>
    <w:rsid w:val="006165AC"/>
    <w:rsid w:val="0061797F"/>
    <w:rsid w:val="00620F52"/>
    <w:rsid w:val="00621B04"/>
    <w:rsid w:val="00621B37"/>
    <w:rsid w:val="006262AC"/>
    <w:rsid w:val="006322CF"/>
    <w:rsid w:val="00644676"/>
    <w:rsid w:val="006471F5"/>
    <w:rsid w:val="006553B4"/>
    <w:rsid w:val="00657E8B"/>
    <w:rsid w:val="00663DE1"/>
    <w:rsid w:val="0066641F"/>
    <w:rsid w:val="00667761"/>
    <w:rsid w:val="006723B9"/>
    <w:rsid w:val="0067315F"/>
    <w:rsid w:val="00674BEE"/>
    <w:rsid w:val="00676789"/>
    <w:rsid w:val="00681723"/>
    <w:rsid w:val="006840A6"/>
    <w:rsid w:val="00690DA8"/>
    <w:rsid w:val="00696D80"/>
    <w:rsid w:val="006A7AB4"/>
    <w:rsid w:val="006B26BC"/>
    <w:rsid w:val="006B6628"/>
    <w:rsid w:val="006D1A2C"/>
    <w:rsid w:val="006D1ABA"/>
    <w:rsid w:val="006D4309"/>
    <w:rsid w:val="006E0195"/>
    <w:rsid w:val="006E0B9C"/>
    <w:rsid w:val="006F1052"/>
    <w:rsid w:val="006F20DB"/>
    <w:rsid w:val="006F6B7D"/>
    <w:rsid w:val="00703393"/>
    <w:rsid w:val="007068F9"/>
    <w:rsid w:val="00710CCF"/>
    <w:rsid w:val="00711EE8"/>
    <w:rsid w:val="00712827"/>
    <w:rsid w:val="0071396A"/>
    <w:rsid w:val="0071397E"/>
    <w:rsid w:val="00714C85"/>
    <w:rsid w:val="00721B79"/>
    <w:rsid w:val="00723055"/>
    <w:rsid w:val="007261C2"/>
    <w:rsid w:val="0073794D"/>
    <w:rsid w:val="00746863"/>
    <w:rsid w:val="00751322"/>
    <w:rsid w:val="00752A81"/>
    <w:rsid w:val="007559F1"/>
    <w:rsid w:val="00757036"/>
    <w:rsid w:val="00763E94"/>
    <w:rsid w:val="0076572E"/>
    <w:rsid w:val="00767C56"/>
    <w:rsid w:val="00771617"/>
    <w:rsid w:val="00771A20"/>
    <w:rsid w:val="00780CDC"/>
    <w:rsid w:val="0079292A"/>
    <w:rsid w:val="007A7B33"/>
    <w:rsid w:val="007B2250"/>
    <w:rsid w:val="007B3579"/>
    <w:rsid w:val="007B47CD"/>
    <w:rsid w:val="007C364A"/>
    <w:rsid w:val="007D22A1"/>
    <w:rsid w:val="007D425B"/>
    <w:rsid w:val="007D76F5"/>
    <w:rsid w:val="007D7C41"/>
    <w:rsid w:val="007E7B5D"/>
    <w:rsid w:val="007F3703"/>
    <w:rsid w:val="007F485F"/>
    <w:rsid w:val="007F6064"/>
    <w:rsid w:val="007F7FEB"/>
    <w:rsid w:val="0081051F"/>
    <w:rsid w:val="00821C2B"/>
    <w:rsid w:val="00823838"/>
    <w:rsid w:val="0082527F"/>
    <w:rsid w:val="00834014"/>
    <w:rsid w:val="00834E92"/>
    <w:rsid w:val="0084651F"/>
    <w:rsid w:val="00855344"/>
    <w:rsid w:val="0085649C"/>
    <w:rsid w:val="008601F2"/>
    <w:rsid w:val="00865552"/>
    <w:rsid w:val="008747F3"/>
    <w:rsid w:val="00877034"/>
    <w:rsid w:val="0088053B"/>
    <w:rsid w:val="008855CB"/>
    <w:rsid w:val="00887B22"/>
    <w:rsid w:val="00895833"/>
    <w:rsid w:val="008A2CA3"/>
    <w:rsid w:val="008B2660"/>
    <w:rsid w:val="008B317C"/>
    <w:rsid w:val="008B3F3B"/>
    <w:rsid w:val="008C015F"/>
    <w:rsid w:val="008C46D0"/>
    <w:rsid w:val="008C4869"/>
    <w:rsid w:val="008C4AEB"/>
    <w:rsid w:val="008C505F"/>
    <w:rsid w:val="008D0DB9"/>
    <w:rsid w:val="008D17F0"/>
    <w:rsid w:val="008D36E6"/>
    <w:rsid w:val="008D3E21"/>
    <w:rsid w:val="008D5CAE"/>
    <w:rsid w:val="008D78C1"/>
    <w:rsid w:val="008D7F49"/>
    <w:rsid w:val="008E2A0B"/>
    <w:rsid w:val="008F040C"/>
    <w:rsid w:val="008F3F24"/>
    <w:rsid w:val="008F6E59"/>
    <w:rsid w:val="00905307"/>
    <w:rsid w:val="00915671"/>
    <w:rsid w:val="009156FC"/>
    <w:rsid w:val="00920B44"/>
    <w:rsid w:val="009214D1"/>
    <w:rsid w:val="009256E9"/>
    <w:rsid w:val="009403A9"/>
    <w:rsid w:val="00940DE2"/>
    <w:rsid w:val="00944FE9"/>
    <w:rsid w:val="009530DC"/>
    <w:rsid w:val="00953926"/>
    <w:rsid w:val="00971388"/>
    <w:rsid w:val="00981A1C"/>
    <w:rsid w:val="009832B4"/>
    <w:rsid w:val="00987AF4"/>
    <w:rsid w:val="00990913"/>
    <w:rsid w:val="009938C7"/>
    <w:rsid w:val="0099397F"/>
    <w:rsid w:val="009955AF"/>
    <w:rsid w:val="00996EB7"/>
    <w:rsid w:val="009A0BE5"/>
    <w:rsid w:val="009A1847"/>
    <w:rsid w:val="009A4EE8"/>
    <w:rsid w:val="009A5138"/>
    <w:rsid w:val="009B0CB3"/>
    <w:rsid w:val="009B4B9B"/>
    <w:rsid w:val="009B65D9"/>
    <w:rsid w:val="009C1BFE"/>
    <w:rsid w:val="009C1FB7"/>
    <w:rsid w:val="009C4CBE"/>
    <w:rsid w:val="009D3075"/>
    <w:rsid w:val="009E582C"/>
    <w:rsid w:val="009E5CD9"/>
    <w:rsid w:val="009E6FD7"/>
    <w:rsid w:val="009F1AD8"/>
    <w:rsid w:val="009F56B6"/>
    <w:rsid w:val="009F63DE"/>
    <w:rsid w:val="00A0293F"/>
    <w:rsid w:val="00A02B51"/>
    <w:rsid w:val="00A107C9"/>
    <w:rsid w:val="00A1173A"/>
    <w:rsid w:val="00A16E6B"/>
    <w:rsid w:val="00A20703"/>
    <w:rsid w:val="00A21B27"/>
    <w:rsid w:val="00A3133F"/>
    <w:rsid w:val="00A3604D"/>
    <w:rsid w:val="00A40580"/>
    <w:rsid w:val="00A44956"/>
    <w:rsid w:val="00A479C5"/>
    <w:rsid w:val="00A54F77"/>
    <w:rsid w:val="00A56668"/>
    <w:rsid w:val="00A63152"/>
    <w:rsid w:val="00A639B9"/>
    <w:rsid w:val="00A71CA7"/>
    <w:rsid w:val="00A7288A"/>
    <w:rsid w:val="00A76CFE"/>
    <w:rsid w:val="00A80EE7"/>
    <w:rsid w:val="00A91049"/>
    <w:rsid w:val="00A92DE4"/>
    <w:rsid w:val="00AA1A91"/>
    <w:rsid w:val="00AA655D"/>
    <w:rsid w:val="00AB05C7"/>
    <w:rsid w:val="00AB3707"/>
    <w:rsid w:val="00AC605C"/>
    <w:rsid w:val="00AD67FE"/>
    <w:rsid w:val="00AD6E44"/>
    <w:rsid w:val="00AE002F"/>
    <w:rsid w:val="00AE39E4"/>
    <w:rsid w:val="00AF4AF8"/>
    <w:rsid w:val="00B047C2"/>
    <w:rsid w:val="00B06F9A"/>
    <w:rsid w:val="00B15002"/>
    <w:rsid w:val="00B16EDF"/>
    <w:rsid w:val="00B210CB"/>
    <w:rsid w:val="00B216BF"/>
    <w:rsid w:val="00B230DF"/>
    <w:rsid w:val="00B268C5"/>
    <w:rsid w:val="00B34782"/>
    <w:rsid w:val="00B41C10"/>
    <w:rsid w:val="00B43068"/>
    <w:rsid w:val="00B45B96"/>
    <w:rsid w:val="00B46FC9"/>
    <w:rsid w:val="00B474AF"/>
    <w:rsid w:val="00B47A17"/>
    <w:rsid w:val="00B5495E"/>
    <w:rsid w:val="00B6425A"/>
    <w:rsid w:val="00B70DCA"/>
    <w:rsid w:val="00B75623"/>
    <w:rsid w:val="00B75A70"/>
    <w:rsid w:val="00B8495A"/>
    <w:rsid w:val="00B93F07"/>
    <w:rsid w:val="00B94D68"/>
    <w:rsid w:val="00BB4C03"/>
    <w:rsid w:val="00BB522A"/>
    <w:rsid w:val="00BC04B5"/>
    <w:rsid w:val="00BC58BF"/>
    <w:rsid w:val="00BD3BB6"/>
    <w:rsid w:val="00BD3BB8"/>
    <w:rsid w:val="00BD46F5"/>
    <w:rsid w:val="00BE702B"/>
    <w:rsid w:val="00C03FB3"/>
    <w:rsid w:val="00C05A62"/>
    <w:rsid w:val="00C05FA6"/>
    <w:rsid w:val="00C064F3"/>
    <w:rsid w:val="00C14791"/>
    <w:rsid w:val="00C303F4"/>
    <w:rsid w:val="00C369F2"/>
    <w:rsid w:val="00C45723"/>
    <w:rsid w:val="00C50B55"/>
    <w:rsid w:val="00C63D43"/>
    <w:rsid w:val="00C64688"/>
    <w:rsid w:val="00C66305"/>
    <w:rsid w:val="00C67E2F"/>
    <w:rsid w:val="00C710B0"/>
    <w:rsid w:val="00C71DC6"/>
    <w:rsid w:val="00C7260E"/>
    <w:rsid w:val="00C87E1A"/>
    <w:rsid w:val="00C9136E"/>
    <w:rsid w:val="00C947DB"/>
    <w:rsid w:val="00CA32BD"/>
    <w:rsid w:val="00CA3DD2"/>
    <w:rsid w:val="00CB3F53"/>
    <w:rsid w:val="00CC153A"/>
    <w:rsid w:val="00CD3104"/>
    <w:rsid w:val="00CD64D3"/>
    <w:rsid w:val="00CE2550"/>
    <w:rsid w:val="00CF297D"/>
    <w:rsid w:val="00CF4100"/>
    <w:rsid w:val="00CF633B"/>
    <w:rsid w:val="00D031B3"/>
    <w:rsid w:val="00D0702F"/>
    <w:rsid w:val="00D23BBA"/>
    <w:rsid w:val="00D24A7B"/>
    <w:rsid w:val="00D26A31"/>
    <w:rsid w:val="00D27809"/>
    <w:rsid w:val="00D27CF7"/>
    <w:rsid w:val="00D33900"/>
    <w:rsid w:val="00D33DE2"/>
    <w:rsid w:val="00D366A1"/>
    <w:rsid w:val="00D37021"/>
    <w:rsid w:val="00D40832"/>
    <w:rsid w:val="00D42F26"/>
    <w:rsid w:val="00D43A1C"/>
    <w:rsid w:val="00D443B9"/>
    <w:rsid w:val="00D56B58"/>
    <w:rsid w:val="00D5770D"/>
    <w:rsid w:val="00D65AD2"/>
    <w:rsid w:val="00D71470"/>
    <w:rsid w:val="00D73705"/>
    <w:rsid w:val="00D74388"/>
    <w:rsid w:val="00D8295B"/>
    <w:rsid w:val="00D85485"/>
    <w:rsid w:val="00D934E3"/>
    <w:rsid w:val="00D94DA1"/>
    <w:rsid w:val="00DA692F"/>
    <w:rsid w:val="00DB1BE9"/>
    <w:rsid w:val="00DB2E5E"/>
    <w:rsid w:val="00DD2DE1"/>
    <w:rsid w:val="00DD317C"/>
    <w:rsid w:val="00DD447A"/>
    <w:rsid w:val="00DD74DD"/>
    <w:rsid w:val="00DD7884"/>
    <w:rsid w:val="00DE0025"/>
    <w:rsid w:val="00DE0652"/>
    <w:rsid w:val="00DE3A90"/>
    <w:rsid w:val="00DE525E"/>
    <w:rsid w:val="00DF262E"/>
    <w:rsid w:val="00DF309B"/>
    <w:rsid w:val="00E027FF"/>
    <w:rsid w:val="00E04B4D"/>
    <w:rsid w:val="00E07A11"/>
    <w:rsid w:val="00E1088C"/>
    <w:rsid w:val="00E1361D"/>
    <w:rsid w:val="00E2513B"/>
    <w:rsid w:val="00E32338"/>
    <w:rsid w:val="00E360AC"/>
    <w:rsid w:val="00E50D8B"/>
    <w:rsid w:val="00E53F09"/>
    <w:rsid w:val="00E74E4D"/>
    <w:rsid w:val="00E7698C"/>
    <w:rsid w:val="00E818DB"/>
    <w:rsid w:val="00E81C5A"/>
    <w:rsid w:val="00E83AE0"/>
    <w:rsid w:val="00E86CFB"/>
    <w:rsid w:val="00E9568E"/>
    <w:rsid w:val="00E97EE4"/>
    <w:rsid w:val="00EA39F4"/>
    <w:rsid w:val="00EC2F09"/>
    <w:rsid w:val="00EC3353"/>
    <w:rsid w:val="00EC6831"/>
    <w:rsid w:val="00EC6B2B"/>
    <w:rsid w:val="00EC773C"/>
    <w:rsid w:val="00ED5CFE"/>
    <w:rsid w:val="00EE08CB"/>
    <w:rsid w:val="00EE2956"/>
    <w:rsid w:val="00EE2BFB"/>
    <w:rsid w:val="00EE4461"/>
    <w:rsid w:val="00EE4D86"/>
    <w:rsid w:val="00EE665D"/>
    <w:rsid w:val="00EF5E73"/>
    <w:rsid w:val="00F041CB"/>
    <w:rsid w:val="00F06134"/>
    <w:rsid w:val="00F1124A"/>
    <w:rsid w:val="00F16495"/>
    <w:rsid w:val="00F2519E"/>
    <w:rsid w:val="00F26857"/>
    <w:rsid w:val="00F34657"/>
    <w:rsid w:val="00F353EF"/>
    <w:rsid w:val="00F401F6"/>
    <w:rsid w:val="00F421AF"/>
    <w:rsid w:val="00F55A3E"/>
    <w:rsid w:val="00F62B2C"/>
    <w:rsid w:val="00F7080D"/>
    <w:rsid w:val="00F70EF5"/>
    <w:rsid w:val="00F72D61"/>
    <w:rsid w:val="00F834C6"/>
    <w:rsid w:val="00F8724C"/>
    <w:rsid w:val="00F948DD"/>
    <w:rsid w:val="00F951D5"/>
    <w:rsid w:val="00F95B97"/>
    <w:rsid w:val="00F96825"/>
    <w:rsid w:val="00FB04FA"/>
    <w:rsid w:val="00FC5B6A"/>
    <w:rsid w:val="00FD0252"/>
    <w:rsid w:val="00FD2CD3"/>
    <w:rsid w:val="00FD38AE"/>
    <w:rsid w:val="00FD64B8"/>
    <w:rsid w:val="00FD7460"/>
    <w:rsid w:val="00FD7DA8"/>
    <w:rsid w:val="00FE3FA1"/>
    <w:rsid w:val="00FE559A"/>
    <w:rsid w:val="00FE7621"/>
    <w:rsid w:val="00FF493D"/>
    <w:rsid w:val="00FF5112"/>
    <w:rsid w:val="00FF54F2"/>
    <w:rsid w:val="00FF5689"/>
    <w:rsid w:val="00FF60C8"/>
    <w:rsid w:val="00FF6E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8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0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7"/>
    <w:pPr>
      <w:ind w:left="720"/>
      <w:contextualSpacing/>
    </w:pPr>
  </w:style>
  <w:style w:type="character" w:customStyle="1" w:styleId="Heading1Char">
    <w:name w:val="Heading 1 Char"/>
    <w:basedOn w:val="DefaultParagraphFont"/>
    <w:link w:val="Heading1"/>
    <w:uiPriority w:val="9"/>
    <w:rsid w:val="00272D07"/>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272D07"/>
  </w:style>
  <w:style w:type="paragraph" w:customStyle="1" w:styleId="Numberedparagraph">
    <w:name w:val="Numbered paragraph"/>
    <w:basedOn w:val="ListParagraph"/>
    <w:link w:val="NumberedparagraphChar"/>
    <w:qFormat/>
    <w:rsid w:val="00CF633B"/>
    <w:pPr>
      <w:numPr>
        <w:numId w:val="2"/>
      </w:numPr>
      <w:spacing w:after="240" w:line="252" w:lineRule="auto"/>
      <w:contextualSpacing w:val="0"/>
    </w:pPr>
    <w:rPr>
      <w:rFonts w:ascii="Arial" w:eastAsia="Calibri" w:hAnsi="Arial" w:cs="Arial"/>
      <w:sz w:val="24"/>
      <w:lang w:bidi="he-IL"/>
    </w:rPr>
  </w:style>
  <w:style w:type="character" w:customStyle="1" w:styleId="NumberedparagraphChar">
    <w:name w:val="Numbered paragraph Char"/>
    <w:basedOn w:val="DefaultParagraphFont"/>
    <w:link w:val="Numberedparagraph"/>
    <w:rsid w:val="00CF633B"/>
    <w:rPr>
      <w:rFonts w:ascii="Arial" w:eastAsia="Calibri" w:hAnsi="Arial" w:cs="Arial"/>
      <w:sz w:val="24"/>
      <w:lang w:bidi="he-IL"/>
    </w:rPr>
  </w:style>
  <w:style w:type="paragraph" w:styleId="Header">
    <w:name w:val="header"/>
    <w:basedOn w:val="Normal"/>
    <w:link w:val="HeaderChar"/>
    <w:uiPriority w:val="99"/>
    <w:unhideWhenUsed/>
    <w:rsid w:val="00F6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2C"/>
  </w:style>
  <w:style w:type="paragraph" w:styleId="Footer">
    <w:name w:val="footer"/>
    <w:basedOn w:val="Normal"/>
    <w:link w:val="FooterChar"/>
    <w:uiPriority w:val="99"/>
    <w:unhideWhenUsed/>
    <w:rsid w:val="00F6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2C"/>
  </w:style>
  <w:style w:type="character" w:styleId="CommentReference">
    <w:name w:val="annotation reference"/>
    <w:basedOn w:val="DefaultParagraphFont"/>
    <w:uiPriority w:val="99"/>
    <w:semiHidden/>
    <w:unhideWhenUsed/>
    <w:rsid w:val="00F16495"/>
    <w:rPr>
      <w:sz w:val="16"/>
      <w:szCs w:val="16"/>
    </w:rPr>
  </w:style>
  <w:style w:type="paragraph" w:styleId="CommentText">
    <w:name w:val="annotation text"/>
    <w:basedOn w:val="Normal"/>
    <w:link w:val="CommentTextChar"/>
    <w:uiPriority w:val="99"/>
    <w:unhideWhenUsed/>
    <w:rsid w:val="00F16495"/>
    <w:pPr>
      <w:spacing w:line="240" w:lineRule="auto"/>
    </w:pPr>
    <w:rPr>
      <w:sz w:val="20"/>
      <w:szCs w:val="20"/>
    </w:rPr>
  </w:style>
  <w:style w:type="character" w:customStyle="1" w:styleId="CommentTextChar">
    <w:name w:val="Comment Text Char"/>
    <w:basedOn w:val="DefaultParagraphFont"/>
    <w:link w:val="CommentText"/>
    <w:uiPriority w:val="99"/>
    <w:rsid w:val="00F16495"/>
    <w:rPr>
      <w:sz w:val="20"/>
      <w:szCs w:val="20"/>
    </w:rPr>
  </w:style>
  <w:style w:type="paragraph" w:styleId="CommentSubject">
    <w:name w:val="annotation subject"/>
    <w:basedOn w:val="CommentText"/>
    <w:next w:val="CommentText"/>
    <w:link w:val="CommentSubjectChar"/>
    <w:uiPriority w:val="99"/>
    <w:semiHidden/>
    <w:unhideWhenUsed/>
    <w:rsid w:val="00F16495"/>
    <w:rPr>
      <w:b/>
      <w:bCs/>
    </w:rPr>
  </w:style>
  <w:style w:type="character" w:customStyle="1" w:styleId="CommentSubjectChar">
    <w:name w:val="Comment Subject Char"/>
    <w:basedOn w:val="CommentTextChar"/>
    <w:link w:val="CommentSubject"/>
    <w:uiPriority w:val="99"/>
    <w:semiHidden/>
    <w:rsid w:val="00F16495"/>
    <w:rPr>
      <w:b/>
      <w:bCs/>
      <w:sz w:val="20"/>
      <w:szCs w:val="20"/>
    </w:rPr>
  </w:style>
  <w:style w:type="paragraph" w:styleId="Revision">
    <w:name w:val="Revision"/>
    <w:hidden/>
    <w:uiPriority w:val="99"/>
    <w:semiHidden/>
    <w:rsid w:val="00C50B55"/>
    <w:pPr>
      <w:spacing w:after="0" w:line="240" w:lineRule="auto"/>
    </w:pPr>
  </w:style>
  <w:style w:type="paragraph" w:styleId="ListBullet">
    <w:name w:val="List Bullet"/>
    <w:basedOn w:val="Normal"/>
    <w:uiPriority w:val="99"/>
    <w:unhideWhenUsed/>
    <w:rsid w:val="00510D1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042">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391194083">
      <w:bodyDiv w:val="1"/>
      <w:marLeft w:val="0"/>
      <w:marRight w:val="0"/>
      <w:marTop w:val="0"/>
      <w:marBottom w:val="0"/>
      <w:divBdr>
        <w:top w:val="none" w:sz="0" w:space="0" w:color="auto"/>
        <w:left w:val="none" w:sz="0" w:space="0" w:color="auto"/>
        <w:bottom w:val="none" w:sz="0" w:space="0" w:color="auto"/>
        <w:right w:val="none" w:sz="0" w:space="0" w:color="auto"/>
      </w:divBdr>
    </w:div>
    <w:div w:id="458644117">
      <w:bodyDiv w:val="1"/>
      <w:marLeft w:val="0"/>
      <w:marRight w:val="0"/>
      <w:marTop w:val="0"/>
      <w:marBottom w:val="0"/>
      <w:divBdr>
        <w:top w:val="none" w:sz="0" w:space="0" w:color="auto"/>
        <w:left w:val="none" w:sz="0" w:space="0" w:color="auto"/>
        <w:bottom w:val="none" w:sz="0" w:space="0" w:color="auto"/>
        <w:right w:val="none" w:sz="0" w:space="0" w:color="auto"/>
      </w:divBdr>
    </w:div>
    <w:div w:id="467015297">
      <w:bodyDiv w:val="1"/>
      <w:marLeft w:val="0"/>
      <w:marRight w:val="0"/>
      <w:marTop w:val="0"/>
      <w:marBottom w:val="0"/>
      <w:divBdr>
        <w:top w:val="none" w:sz="0" w:space="0" w:color="auto"/>
        <w:left w:val="none" w:sz="0" w:space="0" w:color="auto"/>
        <w:bottom w:val="none" w:sz="0" w:space="0" w:color="auto"/>
        <w:right w:val="none" w:sz="0" w:space="0" w:color="auto"/>
      </w:divBdr>
    </w:div>
    <w:div w:id="516887202">
      <w:bodyDiv w:val="1"/>
      <w:marLeft w:val="0"/>
      <w:marRight w:val="0"/>
      <w:marTop w:val="0"/>
      <w:marBottom w:val="0"/>
      <w:divBdr>
        <w:top w:val="none" w:sz="0" w:space="0" w:color="auto"/>
        <w:left w:val="none" w:sz="0" w:space="0" w:color="auto"/>
        <w:bottom w:val="none" w:sz="0" w:space="0" w:color="auto"/>
        <w:right w:val="none" w:sz="0" w:space="0" w:color="auto"/>
      </w:divBdr>
    </w:div>
    <w:div w:id="594627855">
      <w:bodyDiv w:val="1"/>
      <w:marLeft w:val="0"/>
      <w:marRight w:val="0"/>
      <w:marTop w:val="0"/>
      <w:marBottom w:val="0"/>
      <w:divBdr>
        <w:top w:val="none" w:sz="0" w:space="0" w:color="auto"/>
        <w:left w:val="none" w:sz="0" w:space="0" w:color="auto"/>
        <w:bottom w:val="none" w:sz="0" w:space="0" w:color="auto"/>
        <w:right w:val="none" w:sz="0" w:space="0" w:color="auto"/>
      </w:divBdr>
    </w:div>
    <w:div w:id="622930650">
      <w:bodyDiv w:val="1"/>
      <w:marLeft w:val="0"/>
      <w:marRight w:val="0"/>
      <w:marTop w:val="0"/>
      <w:marBottom w:val="0"/>
      <w:divBdr>
        <w:top w:val="none" w:sz="0" w:space="0" w:color="auto"/>
        <w:left w:val="none" w:sz="0" w:space="0" w:color="auto"/>
        <w:bottom w:val="none" w:sz="0" w:space="0" w:color="auto"/>
        <w:right w:val="none" w:sz="0" w:space="0" w:color="auto"/>
      </w:divBdr>
    </w:div>
    <w:div w:id="648365155">
      <w:bodyDiv w:val="1"/>
      <w:marLeft w:val="0"/>
      <w:marRight w:val="0"/>
      <w:marTop w:val="0"/>
      <w:marBottom w:val="0"/>
      <w:divBdr>
        <w:top w:val="none" w:sz="0" w:space="0" w:color="auto"/>
        <w:left w:val="none" w:sz="0" w:space="0" w:color="auto"/>
        <w:bottom w:val="none" w:sz="0" w:space="0" w:color="auto"/>
        <w:right w:val="none" w:sz="0" w:space="0" w:color="auto"/>
      </w:divBdr>
    </w:div>
    <w:div w:id="705568014">
      <w:bodyDiv w:val="1"/>
      <w:marLeft w:val="0"/>
      <w:marRight w:val="0"/>
      <w:marTop w:val="0"/>
      <w:marBottom w:val="0"/>
      <w:divBdr>
        <w:top w:val="none" w:sz="0" w:space="0" w:color="auto"/>
        <w:left w:val="none" w:sz="0" w:space="0" w:color="auto"/>
        <w:bottom w:val="none" w:sz="0" w:space="0" w:color="auto"/>
        <w:right w:val="none" w:sz="0" w:space="0" w:color="auto"/>
      </w:divBdr>
    </w:div>
    <w:div w:id="761101533">
      <w:bodyDiv w:val="1"/>
      <w:marLeft w:val="0"/>
      <w:marRight w:val="0"/>
      <w:marTop w:val="0"/>
      <w:marBottom w:val="0"/>
      <w:divBdr>
        <w:top w:val="none" w:sz="0" w:space="0" w:color="auto"/>
        <w:left w:val="none" w:sz="0" w:space="0" w:color="auto"/>
        <w:bottom w:val="none" w:sz="0" w:space="0" w:color="auto"/>
        <w:right w:val="none" w:sz="0" w:space="0" w:color="auto"/>
      </w:divBdr>
    </w:div>
    <w:div w:id="865601156">
      <w:bodyDiv w:val="1"/>
      <w:marLeft w:val="0"/>
      <w:marRight w:val="0"/>
      <w:marTop w:val="0"/>
      <w:marBottom w:val="0"/>
      <w:divBdr>
        <w:top w:val="none" w:sz="0" w:space="0" w:color="auto"/>
        <w:left w:val="none" w:sz="0" w:space="0" w:color="auto"/>
        <w:bottom w:val="none" w:sz="0" w:space="0" w:color="auto"/>
        <w:right w:val="none" w:sz="0" w:space="0" w:color="auto"/>
      </w:divBdr>
    </w:div>
    <w:div w:id="880554674">
      <w:bodyDiv w:val="1"/>
      <w:marLeft w:val="0"/>
      <w:marRight w:val="0"/>
      <w:marTop w:val="0"/>
      <w:marBottom w:val="0"/>
      <w:divBdr>
        <w:top w:val="none" w:sz="0" w:space="0" w:color="auto"/>
        <w:left w:val="none" w:sz="0" w:space="0" w:color="auto"/>
        <w:bottom w:val="none" w:sz="0" w:space="0" w:color="auto"/>
        <w:right w:val="none" w:sz="0" w:space="0" w:color="auto"/>
      </w:divBdr>
    </w:div>
    <w:div w:id="998922396">
      <w:bodyDiv w:val="1"/>
      <w:marLeft w:val="0"/>
      <w:marRight w:val="0"/>
      <w:marTop w:val="0"/>
      <w:marBottom w:val="0"/>
      <w:divBdr>
        <w:top w:val="none" w:sz="0" w:space="0" w:color="auto"/>
        <w:left w:val="none" w:sz="0" w:space="0" w:color="auto"/>
        <w:bottom w:val="none" w:sz="0" w:space="0" w:color="auto"/>
        <w:right w:val="none" w:sz="0" w:space="0" w:color="auto"/>
      </w:divBdr>
    </w:div>
    <w:div w:id="1006983069">
      <w:bodyDiv w:val="1"/>
      <w:marLeft w:val="0"/>
      <w:marRight w:val="0"/>
      <w:marTop w:val="0"/>
      <w:marBottom w:val="0"/>
      <w:divBdr>
        <w:top w:val="none" w:sz="0" w:space="0" w:color="auto"/>
        <w:left w:val="none" w:sz="0" w:space="0" w:color="auto"/>
        <w:bottom w:val="none" w:sz="0" w:space="0" w:color="auto"/>
        <w:right w:val="none" w:sz="0" w:space="0" w:color="auto"/>
      </w:divBdr>
    </w:div>
    <w:div w:id="1037972238">
      <w:bodyDiv w:val="1"/>
      <w:marLeft w:val="0"/>
      <w:marRight w:val="0"/>
      <w:marTop w:val="0"/>
      <w:marBottom w:val="0"/>
      <w:divBdr>
        <w:top w:val="none" w:sz="0" w:space="0" w:color="auto"/>
        <w:left w:val="none" w:sz="0" w:space="0" w:color="auto"/>
        <w:bottom w:val="none" w:sz="0" w:space="0" w:color="auto"/>
        <w:right w:val="none" w:sz="0" w:space="0" w:color="auto"/>
      </w:divBdr>
    </w:div>
    <w:div w:id="1093285125">
      <w:bodyDiv w:val="1"/>
      <w:marLeft w:val="0"/>
      <w:marRight w:val="0"/>
      <w:marTop w:val="0"/>
      <w:marBottom w:val="0"/>
      <w:divBdr>
        <w:top w:val="none" w:sz="0" w:space="0" w:color="auto"/>
        <w:left w:val="none" w:sz="0" w:space="0" w:color="auto"/>
        <w:bottom w:val="none" w:sz="0" w:space="0" w:color="auto"/>
        <w:right w:val="none" w:sz="0" w:space="0" w:color="auto"/>
      </w:divBdr>
    </w:div>
    <w:div w:id="1139810971">
      <w:bodyDiv w:val="1"/>
      <w:marLeft w:val="0"/>
      <w:marRight w:val="0"/>
      <w:marTop w:val="0"/>
      <w:marBottom w:val="0"/>
      <w:divBdr>
        <w:top w:val="none" w:sz="0" w:space="0" w:color="auto"/>
        <w:left w:val="none" w:sz="0" w:space="0" w:color="auto"/>
        <w:bottom w:val="none" w:sz="0" w:space="0" w:color="auto"/>
        <w:right w:val="none" w:sz="0" w:space="0" w:color="auto"/>
      </w:divBdr>
    </w:div>
    <w:div w:id="1193153894">
      <w:bodyDiv w:val="1"/>
      <w:marLeft w:val="0"/>
      <w:marRight w:val="0"/>
      <w:marTop w:val="0"/>
      <w:marBottom w:val="0"/>
      <w:divBdr>
        <w:top w:val="none" w:sz="0" w:space="0" w:color="auto"/>
        <w:left w:val="none" w:sz="0" w:space="0" w:color="auto"/>
        <w:bottom w:val="none" w:sz="0" w:space="0" w:color="auto"/>
        <w:right w:val="none" w:sz="0" w:space="0" w:color="auto"/>
      </w:divBdr>
    </w:div>
    <w:div w:id="1260604967">
      <w:bodyDiv w:val="1"/>
      <w:marLeft w:val="0"/>
      <w:marRight w:val="0"/>
      <w:marTop w:val="0"/>
      <w:marBottom w:val="0"/>
      <w:divBdr>
        <w:top w:val="none" w:sz="0" w:space="0" w:color="auto"/>
        <w:left w:val="none" w:sz="0" w:space="0" w:color="auto"/>
        <w:bottom w:val="none" w:sz="0" w:space="0" w:color="auto"/>
        <w:right w:val="none" w:sz="0" w:space="0" w:color="auto"/>
      </w:divBdr>
    </w:div>
    <w:div w:id="1273322789">
      <w:bodyDiv w:val="1"/>
      <w:marLeft w:val="0"/>
      <w:marRight w:val="0"/>
      <w:marTop w:val="0"/>
      <w:marBottom w:val="0"/>
      <w:divBdr>
        <w:top w:val="none" w:sz="0" w:space="0" w:color="auto"/>
        <w:left w:val="none" w:sz="0" w:space="0" w:color="auto"/>
        <w:bottom w:val="none" w:sz="0" w:space="0" w:color="auto"/>
        <w:right w:val="none" w:sz="0" w:space="0" w:color="auto"/>
      </w:divBdr>
    </w:div>
    <w:div w:id="1335642690">
      <w:bodyDiv w:val="1"/>
      <w:marLeft w:val="0"/>
      <w:marRight w:val="0"/>
      <w:marTop w:val="0"/>
      <w:marBottom w:val="0"/>
      <w:divBdr>
        <w:top w:val="none" w:sz="0" w:space="0" w:color="auto"/>
        <w:left w:val="none" w:sz="0" w:space="0" w:color="auto"/>
        <w:bottom w:val="none" w:sz="0" w:space="0" w:color="auto"/>
        <w:right w:val="none" w:sz="0" w:space="0" w:color="auto"/>
      </w:divBdr>
    </w:div>
    <w:div w:id="1337465123">
      <w:bodyDiv w:val="1"/>
      <w:marLeft w:val="0"/>
      <w:marRight w:val="0"/>
      <w:marTop w:val="0"/>
      <w:marBottom w:val="0"/>
      <w:divBdr>
        <w:top w:val="none" w:sz="0" w:space="0" w:color="auto"/>
        <w:left w:val="none" w:sz="0" w:space="0" w:color="auto"/>
        <w:bottom w:val="none" w:sz="0" w:space="0" w:color="auto"/>
        <w:right w:val="none" w:sz="0" w:space="0" w:color="auto"/>
      </w:divBdr>
    </w:div>
    <w:div w:id="1374840213">
      <w:bodyDiv w:val="1"/>
      <w:marLeft w:val="0"/>
      <w:marRight w:val="0"/>
      <w:marTop w:val="0"/>
      <w:marBottom w:val="0"/>
      <w:divBdr>
        <w:top w:val="none" w:sz="0" w:space="0" w:color="auto"/>
        <w:left w:val="none" w:sz="0" w:space="0" w:color="auto"/>
        <w:bottom w:val="none" w:sz="0" w:space="0" w:color="auto"/>
        <w:right w:val="none" w:sz="0" w:space="0" w:color="auto"/>
      </w:divBdr>
    </w:div>
    <w:div w:id="1425764468">
      <w:bodyDiv w:val="1"/>
      <w:marLeft w:val="0"/>
      <w:marRight w:val="0"/>
      <w:marTop w:val="0"/>
      <w:marBottom w:val="0"/>
      <w:divBdr>
        <w:top w:val="none" w:sz="0" w:space="0" w:color="auto"/>
        <w:left w:val="none" w:sz="0" w:space="0" w:color="auto"/>
        <w:bottom w:val="none" w:sz="0" w:space="0" w:color="auto"/>
        <w:right w:val="none" w:sz="0" w:space="0" w:color="auto"/>
      </w:divBdr>
    </w:div>
    <w:div w:id="1433624194">
      <w:bodyDiv w:val="1"/>
      <w:marLeft w:val="0"/>
      <w:marRight w:val="0"/>
      <w:marTop w:val="0"/>
      <w:marBottom w:val="0"/>
      <w:divBdr>
        <w:top w:val="none" w:sz="0" w:space="0" w:color="auto"/>
        <w:left w:val="none" w:sz="0" w:space="0" w:color="auto"/>
        <w:bottom w:val="none" w:sz="0" w:space="0" w:color="auto"/>
        <w:right w:val="none" w:sz="0" w:space="0" w:color="auto"/>
      </w:divBdr>
    </w:div>
    <w:div w:id="1455782575">
      <w:bodyDiv w:val="1"/>
      <w:marLeft w:val="0"/>
      <w:marRight w:val="0"/>
      <w:marTop w:val="0"/>
      <w:marBottom w:val="0"/>
      <w:divBdr>
        <w:top w:val="none" w:sz="0" w:space="0" w:color="auto"/>
        <w:left w:val="none" w:sz="0" w:space="0" w:color="auto"/>
        <w:bottom w:val="none" w:sz="0" w:space="0" w:color="auto"/>
        <w:right w:val="none" w:sz="0" w:space="0" w:color="auto"/>
      </w:divBdr>
    </w:div>
    <w:div w:id="1457410842">
      <w:bodyDiv w:val="1"/>
      <w:marLeft w:val="0"/>
      <w:marRight w:val="0"/>
      <w:marTop w:val="0"/>
      <w:marBottom w:val="0"/>
      <w:divBdr>
        <w:top w:val="none" w:sz="0" w:space="0" w:color="auto"/>
        <w:left w:val="none" w:sz="0" w:space="0" w:color="auto"/>
        <w:bottom w:val="none" w:sz="0" w:space="0" w:color="auto"/>
        <w:right w:val="none" w:sz="0" w:space="0" w:color="auto"/>
      </w:divBdr>
    </w:div>
    <w:div w:id="1458451258">
      <w:bodyDiv w:val="1"/>
      <w:marLeft w:val="0"/>
      <w:marRight w:val="0"/>
      <w:marTop w:val="0"/>
      <w:marBottom w:val="0"/>
      <w:divBdr>
        <w:top w:val="none" w:sz="0" w:space="0" w:color="auto"/>
        <w:left w:val="none" w:sz="0" w:space="0" w:color="auto"/>
        <w:bottom w:val="none" w:sz="0" w:space="0" w:color="auto"/>
        <w:right w:val="none" w:sz="0" w:space="0" w:color="auto"/>
      </w:divBdr>
    </w:div>
    <w:div w:id="1500265435">
      <w:bodyDiv w:val="1"/>
      <w:marLeft w:val="0"/>
      <w:marRight w:val="0"/>
      <w:marTop w:val="0"/>
      <w:marBottom w:val="0"/>
      <w:divBdr>
        <w:top w:val="none" w:sz="0" w:space="0" w:color="auto"/>
        <w:left w:val="none" w:sz="0" w:space="0" w:color="auto"/>
        <w:bottom w:val="none" w:sz="0" w:space="0" w:color="auto"/>
        <w:right w:val="none" w:sz="0" w:space="0" w:color="auto"/>
      </w:divBdr>
    </w:div>
    <w:div w:id="1500383164">
      <w:bodyDiv w:val="1"/>
      <w:marLeft w:val="0"/>
      <w:marRight w:val="0"/>
      <w:marTop w:val="0"/>
      <w:marBottom w:val="0"/>
      <w:divBdr>
        <w:top w:val="none" w:sz="0" w:space="0" w:color="auto"/>
        <w:left w:val="none" w:sz="0" w:space="0" w:color="auto"/>
        <w:bottom w:val="none" w:sz="0" w:space="0" w:color="auto"/>
        <w:right w:val="none" w:sz="0" w:space="0" w:color="auto"/>
      </w:divBdr>
    </w:div>
    <w:div w:id="1539121576">
      <w:bodyDiv w:val="1"/>
      <w:marLeft w:val="0"/>
      <w:marRight w:val="0"/>
      <w:marTop w:val="0"/>
      <w:marBottom w:val="0"/>
      <w:divBdr>
        <w:top w:val="none" w:sz="0" w:space="0" w:color="auto"/>
        <w:left w:val="none" w:sz="0" w:space="0" w:color="auto"/>
        <w:bottom w:val="none" w:sz="0" w:space="0" w:color="auto"/>
        <w:right w:val="none" w:sz="0" w:space="0" w:color="auto"/>
      </w:divBdr>
    </w:div>
    <w:div w:id="1559123871">
      <w:bodyDiv w:val="1"/>
      <w:marLeft w:val="0"/>
      <w:marRight w:val="0"/>
      <w:marTop w:val="0"/>
      <w:marBottom w:val="0"/>
      <w:divBdr>
        <w:top w:val="none" w:sz="0" w:space="0" w:color="auto"/>
        <w:left w:val="none" w:sz="0" w:space="0" w:color="auto"/>
        <w:bottom w:val="none" w:sz="0" w:space="0" w:color="auto"/>
        <w:right w:val="none" w:sz="0" w:space="0" w:color="auto"/>
      </w:divBdr>
    </w:div>
    <w:div w:id="1679037734">
      <w:bodyDiv w:val="1"/>
      <w:marLeft w:val="0"/>
      <w:marRight w:val="0"/>
      <w:marTop w:val="0"/>
      <w:marBottom w:val="0"/>
      <w:divBdr>
        <w:top w:val="none" w:sz="0" w:space="0" w:color="auto"/>
        <w:left w:val="none" w:sz="0" w:space="0" w:color="auto"/>
        <w:bottom w:val="none" w:sz="0" w:space="0" w:color="auto"/>
        <w:right w:val="none" w:sz="0" w:space="0" w:color="auto"/>
      </w:divBdr>
    </w:div>
    <w:div w:id="1694839837">
      <w:bodyDiv w:val="1"/>
      <w:marLeft w:val="0"/>
      <w:marRight w:val="0"/>
      <w:marTop w:val="0"/>
      <w:marBottom w:val="0"/>
      <w:divBdr>
        <w:top w:val="none" w:sz="0" w:space="0" w:color="auto"/>
        <w:left w:val="none" w:sz="0" w:space="0" w:color="auto"/>
        <w:bottom w:val="none" w:sz="0" w:space="0" w:color="auto"/>
        <w:right w:val="none" w:sz="0" w:space="0" w:color="auto"/>
      </w:divBdr>
    </w:div>
    <w:div w:id="1737120518">
      <w:bodyDiv w:val="1"/>
      <w:marLeft w:val="0"/>
      <w:marRight w:val="0"/>
      <w:marTop w:val="0"/>
      <w:marBottom w:val="0"/>
      <w:divBdr>
        <w:top w:val="none" w:sz="0" w:space="0" w:color="auto"/>
        <w:left w:val="none" w:sz="0" w:space="0" w:color="auto"/>
        <w:bottom w:val="none" w:sz="0" w:space="0" w:color="auto"/>
        <w:right w:val="none" w:sz="0" w:space="0" w:color="auto"/>
      </w:divBdr>
    </w:div>
    <w:div w:id="1788622617">
      <w:bodyDiv w:val="1"/>
      <w:marLeft w:val="0"/>
      <w:marRight w:val="0"/>
      <w:marTop w:val="0"/>
      <w:marBottom w:val="0"/>
      <w:divBdr>
        <w:top w:val="none" w:sz="0" w:space="0" w:color="auto"/>
        <w:left w:val="none" w:sz="0" w:space="0" w:color="auto"/>
        <w:bottom w:val="none" w:sz="0" w:space="0" w:color="auto"/>
        <w:right w:val="none" w:sz="0" w:space="0" w:color="auto"/>
      </w:divBdr>
    </w:div>
    <w:div w:id="1792741897">
      <w:bodyDiv w:val="1"/>
      <w:marLeft w:val="0"/>
      <w:marRight w:val="0"/>
      <w:marTop w:val="0"/>
      <w:marBottom w:val="0"/>
      <w:divBdr>
        <w:top w:val="none" w:sz="0" w:space="0" w:color="auto"/>
        <w:left w:val="none" w:sz="0" w:space="0" w:color="auto"/>
        <w:bottom w:val="none" w:sz="0" w:space="0" w:color="auto"/>
        <w:right w:val="none" w:sz="0" w:space="0" w:color="auto"/>
      </w:divBdr>
    </w:div>
    <w:div w:id="1817260872">
      <w:bodyDiv w:val="1"/>
      <w:marLeft w:val="0"/>
      <w:marRight w:val="0"/>
      <w:marTop w:val="0"/>
      <w:marBottom w:val="0"/>
      <w:divBdr>
        <w:top w:val="none" w:sz="0" w:space="0" w:color="auto"/>
        <w:left w:val="none" w:sz="0" w:space="0" w:color="auto"/>
        <w:bottom w:val="none" w:sz="0" w:space="0" w:color="auto"/>
        <w:right w:val="none" w:sz="0" w:space="0" w:color="auto"/>
      </w:divBdr>
    </w:div>
    <w:div w:id="1871019661">
      <w:bodyDiv w:val="1"/>
      <w:marLeft w:val="0"/>
      <w:marRight w:val="0"/>
      <w:marTop w:val="0"/>
      <w:marBottom w:val="0"/>
      <w:divBdr>
        <w:top w:val="none" w:sz="0" w:space="0" w:color="auto"/>
        <w:left w:val="none" w:sz="0" w:space="0" w:color="auto"/>
        <w:bottom w:val="none" w:sz="0" w:space="0" w:color="auto"/>
        <w:right w:val="none" w:sz="0" w:space="0" w:color="auto"/>
      </w:divBdr>
    </w:div>
    <w:div w:id="1882086499">
      <w:bodyDiv w:val="1"/>
      <w:marLeft w:val="0"/>
      <w:marRight w:val="0"/>
      <w:marTop w:val="0"/>
      <w:marBottom w:val="0"/>
      <w:divBdr>
        <w:top w:val="none" w:sz="0" w:space="0" w:color="auto"/>
        <w:left w:val="none" w:sz="0" w:space="0" w:color="auto"/>
        <w:bottom w:val="none" w:sz="0" w:space="0" w:color="auto"/>
        <w:right w:val="none" w:sz="0" w:space="0" w:color="auto"/>
      </w:divBdr>
    </w:div>
    <w:div w:id="1940986655">
      <w:bodyDiv w:val="1"/>
      <w:marLeft w:val="0"/>
      <w:marRight w:val="0"/>
      <w:marTop w:val="0"/>
      <w:marBottom w:val="0"/>
      <w:divBdr>
        <w:top w:val="none" w:sz="0" w:space="0" w:color="auto"/>
        <w:left w:val="none" w:sz="0" w:space="0" w:color="auto"/>
        <w:bottom w:val="none" w:sz="0" w:space="0" w:color="auto"/>
        <w:right w:val="none" w:sz="0" w:space="0" w:color="auto"/>
      </w:divBdr>
    </w:div>
    <w:div w:id="2007046901">
      <w:bodyDiv w:val="1"/>
      <w:marLeft w:val="0"/>
      <w:marRight w:val="0"/>
      <w:marTop w:val="0"/>
      <w:marBottom w:val="0"/>
      <w:divBdr>
        <w:top w:val="none" w:sz="0" w:space="0" w:color="auto"/>
        <w:left w:val="none" w:sz="0" w:space="0" w:color="auto"/>
        <w:bottom w:val="none" w:sz="0" w:space="0" w:color="auto"/>
        <w:right w:val="none" w:sz="0" w:space="0" w:color="auto"/>
      </w:divBdr>
    </w:div>
    <w:div w:id="2102288062">
      <w:bodyDiv w:val="1"/>
      <w:marLeft w:val="0"/>
      <w:marRight w:val="0"/>
      <w:marTop w:val="0"/>
      <w:marBottom w:val="0"/>
      <w:divBdr>
        <w:top w:val="none" w:sz="0" w:space="0" w:color="auto"/>
        <w:left w:val="none" w:sz="0" w:space="0" w:color="auto"/>
        <w:bottom w:val="none" w:sz="0" w:space="0" w:color="auto"/>
        <w:right w:val="none" w:sz="0" w:space="0" w:color="auto"/>
      </w:divBdr>
    </w:div>
    <w:div w:id="21404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GtoRPs</b:Tag>
    <b:SourceType>Book</b:SourceType>
    <b:Guid>{75A52A8B-AC2B-4788-9903-362583F95585}</b:Guid>
    <b:Author>
      <b:Author>
        <b:Corporate>ONR</b:Corporate>
      </b:Author>
    </b:Author>
    <b:Title>New Nuclear Power Plants: Generic Design Assessment Guidance to Requesting Parties, ONR-GDA-GD-006 Revision 0, October 2019. www.onr.org.uk/media/pylbvfnz/onr-gda-gd-006.pdf</b:Title>
    <b:RefOrder>1</b:RefOrder>
  </b:Source>
  <b:Source>
    <b:Tag>MDSL</b:Tag>
    <b:SourceType>Book</b:SourceType>
    <b:Guid>{A022D234-C51F-46D2-9081-08F86B515323}</b:Guid>
    <b:Author>
      <b:Author>
        <b:Corporate>Rolls-Royce SMR Limited</b:Corporate>
      </b:Author>
    </b:Author>
    <b:Title>Master Document Submission List and Document List, SMR0001724, Issue 13, May 2024. (Record ref. ONRW-2019369590-9824)</b:Title>
    <b:RefOrder>3</b:RefOrder>
  </b:Source>
  <b:Source>
    <b:Tag>PAR</b:Tag>
    <b:SourceType>Book</b:SourceType>
    <b:Guid>{1BF58682-F7F6-4B79-8731-81AB13AEB8D5}</b:Guid>
    <b:Author>
      <b:Author>
        <b:Corporate>ONR</b:Corporate>
      </b:Author>
    </b:Author>
    <b:Title>Generic Design Assessment of the Rolls-Royce SMR - Step 2 summary, ONRW-2019369590-8980, Issue No. 1, July 2024. (Record ref. ONRW-2019369590-8980)</b:Title>
    <b:RefOrder>2</b:RefOrder>
  </b:Source>
  <b:Source>
    <b:Tag>GDAScope</b:Tag>
    <b:SourceType>Book</b:SourceType>
    <b:Guid>{4B7F1C09-085A-4C4A-A2BA-0AC46F589AAF}</b:Guid>
    <b:Author>
      <b:Author>
        <b:Corporate>Rolls-Royce SMR Limited</b:Corporate>
      </b:Author>
    </b:Author>
    <b:Title>Rolls-Royce SMR Generic Design Assessment Scope, SMR0002183, Issue 2, January 2023. (Record ref. ONRW-2019369590-7694)</b:Title>
    <b:RefOrder>5</b:RefOrder>
  </b:Source>
  <b:Source>
    <b:Tag>DRP1</b:Tag>
    <b:SourceType>Book</b:SourceType>
    <b:Guid>{587D5F0E-7140-4029-8FC8-CA316E915814}</b:Guid>
    <b:Author>
      <b:Author>
        <b:Corporate>Rolls-Royce SMR Limited</b:Corporate>
      </b:Author>
    </b:Author>
    <b:Title>Rolls-Royce SMR – GDA Design Reference Report, SMR0009043, Issue 2, April 2023. (Record ref. ONRW-2019369590-8872)</b:Title>
    <b:RefOrder>4</b:RefOrder>
  </b:Source>
</b:Sources>
</file>

<file path=customXml/itemProps1.xml><?xml version="1.0" encoding="utf-8"?>
<ds:datastoreItem xmlns:ds="http://schemas.openxmlformats.org/officeDocument/2006/customXml" ds:itemID="{125A0C38-4836-4E6C-A643-BCDF5306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2024-07-29T10:28:00Z</dcterms:created>
  <dcterms:modified xsi:type="dcterms:W3CDTF">2024-07-29T10:28:00Z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2024-07-24T06:33:15Z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101fb5d5-7840-4424-bcc9-d297b095d612</vt:lpwstr>
  </property>
  <property fmtid="{D5CDD505-2E9C-101B-9397-08002B2CF9AE}" pid="8" name="MSIP_Label_9e5e003a-90eb-47c9-a506-ad47e7a0b281_ContentBits">
    <vt:lpwstr>0</vt:lpwstr>
  </property>
</Properties>
</file>