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Look w:val="04A0" w:firstRow="1" w:lastRow="0" w:firstColumn="1" w:lastColumn="0" w:noHBand="0" w:noVBand="1"/>
      </w:tblPr>
      <w:tblGrid>
        <w:gridCol w:w="2315"/>
        <w:gridCol w:w="2074"/>
        <w:gridCol w:w="1246"/>
        <w:gridCol w:w="1446"/>
        <w:gridCol w:w="1935"/>
      </w:tblGrid>
      <w:tr w:rsidR="002948CE" w:rsidRPr="00EB324F" w14:paraId="1C256A3D" w14:textId="77777777" w:rsidTr="00135CC2">
        <w:tc>
          <w:tcPr>
            <w:tcW w:w="5000" w:type="pct"/>
            <w:gridSpan w:val="5"/>
            <w:shd w:val="clear" w:color="auto" w:fill="auto"/>
          </w:tcPr>
          <w:p w14:paraId="46F0BA3C" w14:textId="0CE7280F" w:rsidR="002948CE" w:rsidRPr="00EB324F" w:rsidRDefault="003F650D" w:rsidP="003F650D">
            <w:pPr>
              <w:spacing w:before="120"/>
              <w:jc w:val="center"/>
              <w:rPr>
                <w:b/>
                <w:sz w:val="28"/>
                <w:szCs w:val="28"/>
              </w:rPr>
            </w:pPr>
            <w:r w:rsidRPr="003F650D">
              <w:rPr>
                <w:b/>
                <w:sz w:val="28"/>
                <w:szCs w:val="28"/>
              </w:rPr>
              <w:t>Ionising Radiations Regulations 2017 (IRR17)</w:t>
            </w:r>
            <w:r>
              <w:rPr>
                <w:b/>
                <w:sz w:val="28"/>
                <w:szCs w:val="28"/>
              </w:rPr>
              <w:t xml:space="preserve"> </w:t>
            </w:r>
            <w:r w:rsidRPr="003F650D">
              <w:rPr>
                <w:b/>
                <w:sz w:val="28"/>
                <w:szCs w:val="28"/>
              </w:rPr>
              <w:t>Regulation 8 – Radiation Risk Assessment</w:t>
            </w:r>
            <w:r>
              <w:rPr>
                <w:b/>
                <w:sz w:val="28"/>
                <w:szCs w:val="28"/>
              </w:rPr>
              <w:t xml:space="preserve"> </w:t>
            </w:r>
            <w:r w:rsidRPr="003F650D">
              <w:rPr>
                <w:b/>
                <w:sz w:val="28"/>
                <w:szCs w:val="28"/>
              </w:rPr>
              <w:t xml:space="preserve">Guidance in </w:t>
            </w:r>
            <w:r w:rsidR="00991ADA">
              <w:rPr>
                <w:b/>
                <w:sz w:val="28"/>
                <w:szCs w:val="28"/>
              </w:rPr>
              <w:t>R</w:t>
            </w:r>
            <w:r w:rsidRPr="003F650D">
              <w:rPr>
                <w:b/>
                <w:sz w:val="28"/>
                <w:szCs w:val="28"/>
              </w:rPr>
              <w:t xml:space="preserve">elation to the </w:t>
            </w:r>
            <w:r w:rsidR="00991ADA">
              <w:rPr>
                <w:b/>
                <w:sz w:val="28"/>
                <w:szCs w:val="28"/>
              </w:rPr>
              <w:t>C</w:t>
            </w:r>
            <w:r w:rsidRPr="003F650D">
              <w:rPr>
                <w:b/>
                <w:sz w:val="28"/>
                <w:szCs w:val="28"/>
              </w:rPr>
              <w:t xml:space="preserve">ivil </w:t>
            </w:r>
            <w:r w:rsidR="00991ADA">
              <w:rPr>
                <w:b/>
                <w:sz w:val="28"/>
                <w:szCs w:val="28"/>
              </w:rPr>
              <w:t>T</w:t>
            </w:r>
            <w:r w:rsidRPr="003F650D">
              <w:rPr>
                <w:b/>
                <w:sz w:val="28"/>
                <w:szCs w:val="28"/>
              </w:rPr>
              <w:t>ransport</w:t>
            </w:r>
            <w:r>
              <w:rPr>
                <w:b/>
                <w:sz w:val="28"/>
                <w:szCs w:val="28"/>
              </w:rPr>
              <w:t xml:space="preserve"> </w:t>
            </w:r>
            <w:r w:rsidRPr="003F650D">
              <w:rPr>
                <w:b/>
                <w:sz w:val="28"/>
                <w:szCs w:val="28"/>
              </w:rPr>
              <w:t xml:space="preserve">of </w:t>
            </w:r>
            <w:r w:rsidR="00991ADA">
              <w:rPr>
                <w:b/>
                <w:sz w:val="28"/>
                <w:szCs w:val="28"/>
              </w:rPr>
              <w:t>R</w:t>
            </w:r>
            <w:r w:rsidRPr="003F650D">
              <w:rPr>
                <w:b/>
                <w:sz w:val="28"/>
                <w:szCs w:val="28"/>
              </w:rPr>
              <w:t xml:space="preserve">adioactive </w:t>
            </w:r>
            <w:r w:rsidR="00991ADA">
              <w:rPr>
                <w:b/>
                <w:sz w:val="28"/>
                <w:szCs w:val="28"/>
              </w:rPr>
              <w:t>M</w:t>
            </w:r>
            <w:r w:rsidRPr="003F650D">
              <w:rPr>
                <w:b/>
                <w:sz w:val="28"/>
                <w:szCs w:val="28"/>
              </w:rPr>
              <w:t xml:space="preserve">aterial by </w:t>
            </w:r>
            <w:r w:rsidR="00991ADA">
              <w:rPr>
                <w:b/>
                <w:sz w:val="28"/>
                <w:szCs w:val="28"/>
              </w:rPr>
              <w:t>R</w:t>
            </w:r>
            <w:r w:rsidRPr="003F650D">
              <w:rPr>
                <w:b/>
                <w:sz w:val="28"/>
                <w:szCs w:val="28"/>
              </w:rPr>
              <w:t>oad</w:t>
            </w:r>
            <w:r w:rsidR="00951121">
              <w:rPr>
                <w:b/>
                <w:sz w:val="28"/>
                <w:szCs w:val="28"/>
              </w:rPr>
              <w:t>,</w:t>
            </w:r>
            <w:r w:rsidRPr="003F650D">
              <w:rPr>
                <w:b/>
                <w:sz w:val="28"/>
                <w:szCs w:val="28"/>
              </w:rPr>
              <w:t xml:space="preserve"> </w:t>
            </w:r>
            <w:proofErr w:type="gramStart"/>
            <w:r w:rsidR="00991ADA">
              <w:rPr>
                <w:b/>
                <w:sz w:val="28"/>
                <w:szCs w:val="28"/>
              </w:rPr>
              <w:t>R</w:t>
            </w:r>
            <w:r w:rsidRPr="003F650D">
              <w:rPr>
                <w:b/>
                <w:sz w:val="28"/>
                <w:szCs w:val="28"/>
              </w:rPr>
              <w:t>ail</w:t>
            </w:r>
            <w:proofErr w:type="gramEnd"/>
            <w:r w:rsidR="00951121">
              <w:rPr>
                <w:b/>
                <w:sz w:val="28"/>
                <w:szCs w:val="28"/>
              </w:rPr>
              <w:t xml:space="preserve"> and Inland </w:t>
            </w:r>
            <w:r w:rsidR="00991ADA">
              <w:rPr>
                <w:b/>
                <w:sz w:val="28"/>
                <w:szCs w:val="28"/>
              </w:rPr>
              <w:t>W</w:t>
            </w:r>
            <w:r w:rsidR="00951121">
              <w:rPr>
                <w:b/>
                <w:sz w:val="28"/>
                <w:szCs w:val="28"/>
              </w:rPr>
              <w:t>aterway</w:t>
            </w:r>
          </w:p>
        </w:tc>
      </w:tr>
      <w:tr w:rsidR="002948CE" w:rsidRPr="005739E1" w14:paraId="6D2B2567" w14:textId="77777777" w:rsidTr="00951121">
        <w:tc>
          <w:tcPr>
            <w:tcW w:w="1284" w:type="pct"/>
            <w:shd w:val="clear" w:color="auto" w:fill="auto"/>
          </w:tcPr>
          <w:p w14:paraId="626962DA" w14:textId="77777777" w:rsidR="002948CE" w:rsidRPr="005739E1" w:rsidRDefault="002948CE" w:rsidP="00135CC2">
            <w:pPr>
              <w:spacing w:before="60" w:after="60"/>
              <w:rPr>
                <w:b/>
              </w:rPr>
            </w:pPr>
            <w:r w:rsidRPr="005739E1">
              <w:rPr>
                <w:b/>
              </w:rPr>
              <w:t>Doc. Type</w:t>
            </w:r>
          </w:p>
        </w:tc>
        <w:tc>
          <w:tcPr>
            <w:tcW w:w="3716" w:type="pct"/>
            <w:gridSpan w:val="4"/>
            <w:shd w:val="clear" w:color="auto" w:fill="auto"/>
          </w:tcPr>
          <w:p w14:paraId="000223FC" w14:textId="40DC0AA2" w:rsidR="002948CE" w:rsidRPr="005739E1" w:rsidRDefault="002948CE" w:rsidP="00900688">
            <w:pPr>
              <w:spacing w:before="60" w:after="60"/>
            </w:pPr>
            <w:r w:rsidRPr="005739E1">
              <w:t xml:space="preserve">ONR </w:t>
            </w:r>
            <w:r w:rsidR="00900688" w:rsidRPr="005739E1">
              <w:t>Guidance</w:t>
            </w:r>
            <w:r w:rsidR="00166615" w:rsidRPr="005739E1">
              <w:t xml:space="preserve"> Document</w:t>
            </w:r>
          </w:p>
        </w:tc>
      </w:tr>
      <w:tr w:rsidR="0078447C" w:rsidRPr="005739E1" w14:paraId="4E6BDFE8" w14:textId="77777777" w:rsidTr="00BA0058">
        <w:tc>
          <w:tcPr>
            <w:tcW w:w="1284" w:type="pct"/>
            <w:shd w:val="clear" w:color="auto" w:fill="auto"/>
          </w:tcPr>
          <w:p w14:paraId="2B46DCBA" w14:textId="77777777" w:rsidR="0078447C" w:rsidRPr="005739E1" w:rsidRDefault="0078447C" w:rsidP="00135CC2">
            <w:pPr>
              <w:spacing w:before="60" w:after="60"/>
              <w:rPr>
                <w:b/>
              </w:rPr>
            </w:pPr>
            <w:r w:rsidRPr="005739E1">
              <w:rPr>
                <w:b/>
              </w:rPr>
              <w:t xml:space="preserve">Unique Doc. ID: </w:t>
            </w:r>
          </w:p>
        </w:tc>
        <w:tc>
          <w:tcPr>
            <w:tcW w:w="1841" w:type="pct"/>
            <w:gridSpan w:val="2"/>
            <w:shd w:val="clear" w:color="auto" w:fill="auto"/>
          </w:tcPr>
          <w:p w14:paraId="588E9A05" w14:textId="5656E6F5" w:rsidR="0078447C" w:rsidRPr="005739E1" w:rsidRDefault="00991ADA" w:rsidP="00135CC2">
            <w:pPr>
              <w:spacing w:before="60" w:after="60"/>
            </w:pPr>
            <w:r w:rsidRPr="00991ADA">
              <w:t>TD-TCA-GD-00</w:t>
            </w:r>
            <w:r w:rsidR="00D73C1B">
              <w:t>3</w:t>
            </w:r>
          </w:p>
        </w:tc>
        <w:tc>
          <w:tcPr>
            <w:tcW w:w="802" w:type="pct"/>
            <w:shd w:val="clear" w:color="auto" w:fill="auto"/>
          </w:tcPr>
          <w:p w14:paraId="71B79279" w14:textId="34CFE01A" w:rsidR="0078447C" w:rsidRPr="005739E1" w:rsidRDefault="00166615" w:rsidP="00135CC2">
            <w:pPr>
              <w:spacing w:before="60" w:after="60"/>
            </w:pPr>
            <w:r w:rsidRPr="005739E1">
              <w:rPr>
                <w:b/>
              </w:rPr>
              <w:t>Issue</w:t>
            </w:r>
            <w:r w:rsidR="0078447C" w:rsidRPr="005739E1">
              <w:rPr>
                <w:b/>
              </w:rPr>
              <w:t xml:space="preserve"> No.:</w:t>
            </w:r>
          </w:p>
        </w:tc>
        <w:tc>
          <w:tcPr>
            <w:tcW w:w="1073" w:type="pct"/>
            <w:shd w:val="clear" w:color="auto" w:fill="auto"/>
          </w:tcPr>
          <w:p w14:paraId="2A7B11F0" w14:textId="6656FBA8" w:rsidR="0078447C" w:rsidRPr="005739E1" w:rsidRDefault="005032D1" w:rsidP="00B649D3">
            <w:pPr>
              <w:spacing w:before="60" w:after="60"/>
            </w:pPr>
            <w:r>
              <w:t>3</w:t>
            </w:r>
          </w:p>
        </w:tc>
      </w:tr>
      <w:tr w:rsidR="002948CE" w:rsidRPr="005739E1" w14:paraId="42ADB83A" w14:textId="77777777" w:rsidTr="00951121">
        <w:tc>
          <w:tcPr>
            <w:tcW w:w="1284" w:type="pct"/>
            <w:shd w:val="clear" w:color="auto" w:fill="auto"/>
          </w:tcPr>
          <w:p w14:paraId="1B799835" w14:textId="77777777" w:rsidR="002948CE" w:rsidRPr="005739E1" w:rsidRDefault="002948CE" w:rsidP="00135CC2">
            <w:pPr>
              <w:spacing w:before="60" w:after="60"/>
              <w:rPr>
                <w:b/>
              </w:rPr>
            </w:pPr>
            <w:r w:rsidRPr="005739E1">
              <w:rPr>
                <w:b/>
              </w:rPr>
              <w:t>Record Reference:</w:t>
            </w:r>
          </w:p>
        </w:tc>
        <w:tc>
          <w:tcPr>
            <w:tcW w:w="3716" w:type="pct"/>
            <w:gridSpan w:val="4"/>
            <w:shd w:val="clear" w:color="auto" w:fill="auto"/>
          </w:tcPr>
          <w:p w14:paraId="22D0E353" w14:textId="6156884E" w:rsidR="002948CE" w:rsidRPr="005739E1" w:rsidRDefault="00EC6987" w:rsidP="00135CC2">
            <w:pPr>
              <w:spacing w:before="60" w:after="60"/>
            </w:pPr>
            <w:r>
              <w:t xml:space="preserve"> </w:t>
            </w:r>
            <w:r w:rsidR="005F7FF2">
              <w:rPr>
                <w:rFonts w:ascii="Verdana" w:hAnsi="Verdana"/>
                <w:color w:val="212121"/>
                <w:shd w:val="clear" w:color="auto" w:fill="F9F9F9"/>
              </w:rPr>
              <w:t>2021/49904</w:t>
            </w:r>
          </w:p>
        </w:tc>
      </w:tr>
      <w:tr w:rsidR="002948CE" w:rsidRPr="005739E1" w14:paraId="45D99419" w14:textId="77777777" w:rsidTr="00BA0058">
        <w:tc>
          <w:tcPr>
            <w:tcW w:w="1284" w:type="pct"/>
            <w:shd w:val="clear" w:color="auto" w:fill="auto"/>
          </w:tcPr>
          <w:p w14:paraId="1D815114" w14:textId="77777777" w:rsidR="002948CE" w:rsidRPr="005739E1" w:rsidRDefault="002948CE" w:rsidP="00135CC2">
            <w:pPr>
              <w:spacing w:before="60" w:after="60"/>
              <w:rPr>
                <w:b/>
              </w:rPr>
            </w:pPr>
            <w:r w:rsidRPr="005739E1">
              <w:rPr>
                <w:b/>
              </w:rPr>
              <w:t>Date Issued:</w:t>
            </w:r>
          </w:p>
        </w:tc>
        <w:tc>
          <w:tcPr>
            <w:tcW w:w="1150" w:type="pct"/>
            <w:shd w:val="clear" w:color="auto" w:fill="auto"/>
          </w:tcPr>
          <w:p w14:paraId="0510351A" w14:textId="7187AE54" w:rsidR="002948CE" w:rsidRPr="005739E1" w:rsidRDefault="00E058BA" w:rsidP="00135CC2">
            <w:pPr>
              <w:spacing w:before="60" w:after="60"/>
            </w:pPr>
            <w:r>
              <w:t>November</w:t>
            </w:r>
            <w:r w:rsidR="005032D1">
              <w:t xml:space="preserve"> </w:t>
            </w:r>
            <w:r w:rsidR="000418F4" w:rsidRPr="000418F4">
              <w:t>2022</w:t>
            </w:r>
          </w:p>
        </w:tc>
        <w:tc>
          <w:tcPr>
            <w:tcW w:w="1493" w:type="pct"/>
            <w:gridSpan w:val="2"/>
            <w:shd w:val="clear" w:color="auto" w:fill="auto"/>
          </w:tcPr>
          <w:p w14:paraId="59D1C8D6" w14:textId="22ADEFE7" w:rsidR="002948CE" w:rsidRPr="005739E1" w:rsidRDefault="002948CE" w:rsidP="00135CC2">
            <w:pPr>
              <w:spacing w:before="60" w:after="60"/>
              <w:rPr>
                <w:b/>
              </w:rPr>
            </w:pPr>
            <w:r w:rsidRPr="005739E1">
              <w:rPr>
                <w:b/>
              </w:rPr>
              <w:t xml:space="preserve">Next </w:t>
            </w:r>
            <w:r w:rsidR="00BA0058">
              <w:rPr>
                <w:b/>
              </w:rPr>
              <w:t xml:space="preserve">Major </w:t>
            </w:r>
            <w:r w:rsidRPr="005739E1">
              <w:rPr>
                <w:b/>
              </w:rPr>
              <w:t>Review Date:</w:t>
            </w:r>
          </w:p>
        </w:tc>
        <w:tc>
          <w:tcPr>
            <w:tcW w:w="1073" w:type="pct"/>
            <w:shd w:val="clear" w:color="auto" w:fill="auto"/>
          </w:tcPr>
          <w:p w14:paraId="6012A1E4" w14:textId="4A8F64F5" w:rsidR="002948CE" w:rsidRPr="005739E1" w:rsidRDefault="00E058BA" w:rsidP="00135CC2">
            <w:pPr>
              <w:spacing w:before="60" w:after="60"/>
            </w:pPr>
            <w:r>
              <w:t xml:space="preserve">November </w:t>
            </w:r>
            <w:r w:rsidR="000418F4" w:rsidRPr="000418F4">
              <w:t>202</w:t>
            </w:r>
            <w:r w:rsidR="000418F4">
              <w:t>7</w:t>
            </w:r>
          </w:p>
        </w:tc>
      </w:tr>
      <w:tr w:rsidR="002948CE" w:rsidRPr="005739E1" w14:paraId="1B81ED14" w14:textId="77777777" w:rsidTr="00BA0058">
        <w:tc>
          <w:tcPr>
            <w:tcW w:w="1284" w:type="pct"/>
            <w:shd w:val="clear" w:color="auto" w:fill="auto"/>
          </w:tcPr>
          <w:p w14:paraId="47136EFB" w14:textId="77777777" w:rsidR="002948CE" w:rsidRPr="005739E1" w:rsidRDefault="002948CE" w:rsidP="00135CC2">
            <w:pPr>
              <w:spacing w:before="60" w:after="60"/>
              <w:rPr>
                <w:b/>
              </w:rPr>
            </w:pPr>
            <w:r w:rsidRPr="005739E1">
              <w:rPr>
                <w:b/>
              </w:rPr>
              <w:t>Prepared by:</w:t>
            </w:r>
          </w:p>
        </w:tc>
        <w:tc>
          <w:tcPr>
            <w:tcW w:w="1150" w:type="pct"/>
            <w:shd w:val="clear" w:color="auto" w:fill="auto"/>
          </w:tcPr>
          <w:p w14:paraId="4F955C3D" w14:textId="5F447209" w:rsidR="002948CE" w:rsidRPr="00126624" w:rsidRDefault="002948CE" w:rsidP="00135CC2">
            <w:pPr>
              <w:spacing w:before="60" w:after="60"/>
            </w:pPr>
          </w:p>
        </w:tc>
        <w:tc>
          <w:tcPr>
            <w:tcW w:w="2566" w:type="pct"/>
            <w:gridSpan w:val="3"/>
            <w:shd w:val="clear" w:color="auto" w:fill="auto"/>
          </w:tcPr>
          <w:p w14:paraId="30006DD2" w14:textId="14A81A69" w:rsidR="002948CE" w:rsidRPr="00126624" w:rsidRDefault="00641920" w:rsidP="00135CC2">
            <w:pPr>
              <w:spacing w:before="60" w:after="60"/>
            </w:pPr>
            <w:r>
              <w:t xml:space="preserve">Principal </w:t>
            </w:r>
            <w:r w:rsidR="00126624" w:rsidRPr="00126624">
              <w:t>Nuclear Safety Inspector</w:t>
            </w:r>
          </w:p>
        </w:tc>
      </w:tr>
      <w:tr w:rsidR="002948CE" w:rsidRPr="005739E1" w14:paraId="13F56B3C" w14:textId="77777777" w:rsidTr="00BA0058">
        <w:tc>
          <w:tcPr>
            <w:tcW w:w="1284" w:type="pct"/>
            <w:shd w:val="clear" w:color="auto" w:fill="auto"/>
          </w:tcPr>
          <w:p w14:paraId="6270DF4C" w14:textId="77777777" w:rsidR="002948CE" w:rsidRPr="005739E1" w:rsidRDefault="002948CE" w:rsidP="00135CC2">
            <w:pPr>
              <w:spacing w:before="60" w:after="60"/>
              <w:rPr>
                <w:b/>
              </w:rPr>
            </w:pPr>
            <w:r w:rsidRPr="005739E1">
              <w:rPr>
                <w:b/>
              </w:rPr>
              <w:t>Approved by:</w:t>
            </w:r>
          </w:p>
        </w:tc>
        <w:tc>
          <w:tcPr>
            <w:tcW w:w="1150" w:type="pct"/>
            <w:shd w:val="clear" w:color="auto" w:fill="auto"/>
          </w:tcPr>
          <w:p w14:paraId="1F3347F2" w14:textId="5FD79D08" w:rsidR="002948CE" w:rsidRPr="00E16606" w:rsidRDefault="002948CE" w:rsidP="00135CC2">
            <w:pPr>
              <w:spacing w:before="60" w:after="60"/>
            </w:pPr>
          </w:p>
        </w:tc>
        <w:tc>
          <w:tcPr>
            <w:tcW w:w="2566" w:type="pct"/>
            <w:gridSpan w:val="3"/>
            <w:shd w:val="clear" w:color="auto" w:fill="auto"/>
          </w:tcPr>
          <w:p w14:paraId="0D5BC085" w14:textId="50DAA917" w:rsidR="002948CE" w:rsidRPr="00E16606" w:rsidRDefault="00951121" w:rsidP="00135CC2">
            <w:pPr>
              <w:spacing w:before="60" w:after="60"/>
            </w:pPr>
            <w:r w:rsidRPr="00951121">
              <w:t>Professional Lead: Radiological Protection and Criticality Specialism</w:t>
            </w:r>
            <w:r>
              <w:t xml:space="preserve"> </w:t>
            </w:r>
          </w:p>
        </w:tc>
      </w:tr>
      <w:tr w:rsidR="002948CE" w:rsidRPr="005739E1" w14:paraId="100BD2ED" w14:textId="77777777" w:rsidTr="00BA0058">
        <w:tc>
          <w:tcPr>
            <w:tcW w:w="1284" w:type="pct"/>
            <w:shd w:val="clear" w:color="auto" w:fill="auto"/>
          </w:tcPr>
          <w:p w14:paraId="491FAA1F" w14:textId="77777777" w:rsidR="002948CE" w:rsidRPr="005739E1" w:rsidRDefault="002948CE" w:rsidP="00135CC2">
            <w:pPr>
              <w:spacing w:before="60" w:after="60"/>
              <w:rPr>
                <w:b/>
              </w:rPr>
            </w:pPr>
            <w:r w:rsidRPr="005739E1">
              <w:rPr>
                <w:b/>
              </w:rPr>
              <w:t>Process Owner:</w:t>
            </w:r>
          </w:p>
        </w:tc>
        <w:tc>
          <w:tcPr>
            <w:tcW w:w="1150" w:type="pct"/>
            <w:shd w:val="clear" w:color="auto" w:fill="auto"/>
          </w:tcPr>
          <w:p w14:paraId="5ECE527C" w14:textId="6DB02CF8" w:rsidR="002948CE" w:rsidRPr="00E16606" w:rsidRDefault="002948CE" w:rsidP="00135CC2">
            <w:pPr>
              <w:spacing w:before="60" w:after="60"/>
            </w:pPr>
          </w:p>
        </w:tc>
        <w:tc>
          <w:tcPr>
            <w:tcW w:w="2566" w:type="pct"/>
            <w:gridSpan w:val="3"/>
            <w:shd w:val="clear" w:color="auto" w:fill="auto"/>
          </w:tcPr>
          <w:p w14:paraId="2C3F361D" w14:textId="4E92E7BB" w:rsidR="002948CE" w:rsidRPr="00E16606" w:rsidRDefault="00CE07AF" w:rsidP="00135CC2">
            <w:pPr>
              <w:spacing w:before="60" w:after="60"/>
            </w:pPr>
            <w:r>
              <w:t>Head of GB Transport Competent Authority</w:t>
            </w:r>
          </w:p>
        </w:tc>
      </w:tr>
      <w:tr w:rsidR="002948CE" w:rsidRPr="005739E1" w14:paraId="1075F45F" w14:textId="77777777" w:rsidTr="00951121">
        <w:tc>
          <w:tcPr>
            <w:tcW w:w="1284" w:type="pct"/>
            <w:shd w:val="clear" w:color="auto" w:fill="auto"/>
          </w:tcPr>
          <w:p w14:paraId="30A78027" w14:textId="77777777" w:rsidR="002948CE" w:rsidRPr="005739E1" w:rsidRDefault="002948CE" w:rsidP="00135CC2">
            <w:pPr>
              <w:spacing w:before="60" w:after="60"/>
              <w:rPr>
                <w:b/>
              </w:rPr>
            </w:pPr>
            <w:r w:rsidRPr="005739E1">
              <w:rPr>
                <w:b/>
              </w:rPr>
              <w:t>Revision Commentary:</w:t>
            </w:r>
          </w:p>
        </w:tc>
        <w:tc>
          <w:tcPr>
            <w:tcW w:w="3716" w:type="pct"/>
            <w:gridSpan w:val="4"/>
            <w:shd w:val="clear" w:color="auto" w:fill="auto"/>
          </w:tcPr>
          <w:p w14:paraId="24EC1889" w14:textId="29B312B8" w:rsidR="002948CE" w:rsidRPr="005739E1" w:rsidRDefault="000418F4">
            <w:pPr>
              <w:spacing w:before="60" w:after="60"/>
            </w:pPr>
            <w:r w:rsidRPr="000418F4">
              <w:t>Changes to previous edition</w:t>
            </w:r>
            <w:r w:rsidR="004259E8">
              <w:t xml:space="preserve">, </w:t>
            </w:r>
            <w:r w:rsidRPr="000418F4">
              <w:t>dated</w:t>
            </w:r>
            <w:r w:rsidR="004259E8">
              <w:t xml:space="preserve"> </w:t>
            </w:r>
            <w:r w:rsidR="005032D1">
              <w:t>February</w:t>
            </w:r>
            <w:r w:rsidR="00AD75F0">
              <w:t xml:space="preserve"> 2022</w:t>
            </w:r>
            <w:r w:rsidRPr="000418F4">
              <w:t xml:space="preserve">: </w:t>
            </w:r>
            <w:r w:rsidR="00AD75F0">
              <w:t xml:space="preserve">Change made to </w:t>
            </w:r>
            <w:r w:rsidR="00CE1D0F">
              <w:t xml:space="preserve">table 2 section 70(k) to clarify </w:t>
            </w:r>
            <w:r w:rsidR="00EC6987" w:rsidRPr="00EC6987">
              <w:t xml:space="preserve">where an emergency ends </w:t>
            </w:r>
            <w:r w:rsidR="00EC6987">
              <w:t xml:space="preserve">and </w:t>
            </w:r>
            <w:r w:rsidR="00CE1D0F">
              <w:t xml:space="preserve">the requirement to </w:t>
            </w:r>
            <w:r w:rsidR="00DA54C6">
              <w:t>estimate accident doses</w:t>
            </w:r>
            <w:r w:rsidR="00EC6987">
              <w:t>.</w:t>
            </w:r>
          </w:p>
        </w:tc>
      </w:tr>
    </w:tbl>
    <w:p w14:paraId="0874D568" w14:textId="77777777" w:rsidR="005739E1" w:rsidRDefault="005739E1" w:rsidP="0082316B">
      <w:pPr>
        <w:pStyle w:val="TOC1"/>
        <w:tabs>
          <w:tab w:val="right" w:leader="dot" w:pos="9016"/>
        </w:tabs>
        <w:jc w:val="center"/>
        <w:rPr>
          <w:b/>
        </w:rPr>
      </w:pPr>
    </w:p>
    <w:p w14:paraId="182CA79F" w14:textId="2A1BD2DB" w:rsidR="0082316B" w:rsidRPr="00792C72" w:rsidRDefault="005739E1" w:rsidP="0082316B">
      <w:pPr>
        <w:pStyle w:val="TOC1"/>
        <w:tabs>
          <w:tab w:val="right" w:leader="dot" w:pos="9016"/>
        </w:tabs>
        <w:jc w:val="center"/>
        <w:rPr>
          <w:b/>
          <w:sz w:val="28"/>
          <w:szCs w:val="28"/>
        </w:rPr>
      </w:pPr>
      <w:r w:rsidRPr="00792C72">
        <w:rPr>
          <w:b/>
          <w:sz w:val="28"/>
          <w:szCs w:val="28"/>
        </w:rPr>
        <w:t>Table of Contents</w:t>
      </w:r>
    </w:p>
    <w:p w14:paraId="557B92C3" w14:textId="1A25C3EB" w:rsidR="00E46A18" w:rsidRDefault="005739E1">
      <w:pPr>
        <w:pStyle w:val="TOC1"/>
        <w:tabs>
          <w:tab w:val="left" w:pos="44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"1-1" \h \z \u </w:instrText>
      </w:r>
      <w:r>
        <w:fldChar w:fldCharType="separate"/>
      </w:r>
      <w:hyperlink w:anchor="_Toc95398342" w:history="1">
        <w:r w:rsidR="00E46A18" w:rsidRPr="00447628">
          <w:rPr>
            <w:rStyle w:val="Hyperlink"/>
            <w:noProof/>
          </w:rPr>
          <w:t>1.</w:t>
        </w:r>
        <w:r w:rsidR="00E46A18">
          <w:rPr>
            <w:rFonts w:asciiTheme="minorHAnsi" w:eastAsiaTheme="minorEastAsia" w:hAnsiTheme="minorHAnsi" w:cstheme="minorBidi"/>
            <w:noProof/>
            <w:sz w:val="22"/>
            <w:szCs w:val="22"/>
            <w:lang w:eastAsia="en-GB"/>
          </w:rPr>
          <w:tab/>
        </w:r>
        <w:r w:rsidR="00E46A18" w:rsidRPr="00447628">
          <w:rPr>
            <w:rStyle w:val="Hyperlink"/>
            <w:noProof/>
          </w:rPr>
          <w:t>Introduction</w:t>
        </w:r>
        <w:r w:rsidR="00E46A18">
          <w:rPr>
            <w:noProof/>
            <w:webHidden/>
          </w:rPr>
          <w:tab/>
        </w:r>
        <w:r w:rsidR="00E46A18">
          <w:rPr>
            <w:noProof/>
            <w:webHidden/>
          </w:rPr>
          <w:fldChar w:fldCharType="begin"/>
        </w:r>
        <w:r w:rsidR="00E46A18">
          <w:rPr>
            <w:noProof/>
            <w:webHidden/>
          </w:rPr>
          <w:instrText xml:space="preserve"> PAGEREF _Toc95398342 \h </w:instrText>
        </w:r>
        <w:r w:rsidR="00E46A18">
          <w:rPr>
            <w:noProof/>
            <w:webHidden/>
          </w:rPr>
        </w:r>
        <w:r w:rsidR="00E46A18">
          <w:rPr>
            <w:noProof/>
            <w:webHidden/>
          </w:rPr>
          <w:fldChar w:fldCharType="separate"/>
        </w:r>
        <w:r w:rsidR="00AB520B">
          <w:rPr>
            <w:noProof/>
            <w:webHidden/>
          </w:rPr>
          <w:t>2</w:t>
        </w:r>
        <w:r w:rsidR="00E46A18">
          <w:rPr>
            <w:noProof/>
            <w:webHidden/>
          </w:rPr>
          <w:fldChar w:fldCharType="end"/>
        </w:r>
      </w:hyperlink>
    </w:p>
    <w:p w14:paraId="00BA14E4" w14:textId="5F391F21" w:rsidR="00E46A18" w:rsidRDefault="0053619C">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95398343" w:history="1">
        <w:r w:rsidR="00E46A18" w:rsidRPr="00447628">
          <w:rPr>
            <w:rStyle w:val="Hyperlink"/>
            <w:noProof/>
          </w:rPr>
          <w:t>2.</w:t>
        </w:r>
        <w:r w:rsidR="00E46A18">
          <w:rPr>
            <w:rFonts w:asciiTheme="minorHAnsi" w:eastAsiaTheme="minorEastAsia" w:hAnsiTheme="minorHAnsi" w:cstheme="minorBidi"/>
            <w:noProof/>
            <w:sz w:val="22"/>
            <w:szCs w:val="22"/>
            <w:lang w:eastAsia="en-GB"/>
          </w:rPr>
          <w:tab/>
        </w:r>
        <w:r w:rsidR="00E46A18" w:rsidRPr="00447628">
          <w:rPr>
            <w:rStyle w:val="Hyperlink"/>
            <w:noProof/>
          </w:rPr>
          <w:t>Guidance</w:t>
        </w:r>
        <w:r w:rsidR="00E46A18">
          <w:rPr>
            <w:noProof/>
            <w:webHidden/>
          </w:rPr>
          <w:tab/>
        </w:r>
        <w:r w:rsidR="00E46A18">
          <w:rPr>
            <w:noProof/>
            <w:webHidden/>
          </w:rPr>
          <w:fldChar w:fldCharType="begin"/>
        </w:r>
        <w:r w:rsidR="00E46A18">
          <w:rPr>
            <w:noProof/>
            <w:webHidden/>
          </w:rPr>
          <w:instrText xml:space="preserve"> PAGEREF _Toc95398343 \h </w:instrText>
        </w:r>
        <w:r w:rsidR="00E46A18">
          <w:rPr>
            <w:noProof/>
            <w:webHidden/>
          </w:rPr>
        </w:r>
        <w:r w:rsidR="00E46A18">
          <w:rPr>
            <w:noProof/>
            <w:webHidden/>
          </w:rPr>
          <w:fldChar w:fldCharType="separate"/>
        </w:r>
        <w:r w:rsidR="00AB520B">
          <w:rPr>
            <w:noProof/>
            <w:webHidden/>
          </w:rPr>
          <w:t>4</w:t>
        </w:r>
        <w:r w:rsidR="00E46A18">
          <w:rPr>
            <w:noProof/>
            <w:webHidden/>
          </w:rPr>
          <w:fldChar w:fldCharType="end"/>
        </w:r>
      </w:hyperlink>
    </w:p>
    <w:p w14:paraId="7DC01E54" w14:textId="4172D38D" w:rsidR="00E46A18" w:rsidRDefault="0053619C">
      <w:pPr>
        <w:pStyle w:val="TOC1"/>
        <w:tabs>
          <w:tab w:val="right" w:leader="dot" w:pos="9016"/>
        </w:tabs>
        <w:rPr>
          <w:rFonts w:asciiTheme="minorHAnsi" w:eastAsiaTheme="minorEastAsia" w:hAnsiTheme="minorHAnsi" w:cstheme="minorBidi"/>
          <w:noProof/>
          <w:sz w:val="22"/>
          <w:szCs w:val="22"/>
          <w:lang w:eastAsia="en-GB"/>
        </w:rPr>
      </w:pPr>
      <w:hyperlink w:anchor="_Toc95398344" w:history="1">
        <w:r w:rsidR="00E46A18" w:rsidRPr="00447628">
          <w:rPr>
            <w:rStyle w:val="Hyperlink"/>
            <w:noProof/>
          </w:rPr>
          <w:t>References</w:t>
        </w:r>
        <w:r w:rsidR="00E46A18">
          <w:rPr>
            <w:noProof/>
            <w:webHidden/>
          </w:rPr>
          <w:tab/>
        </w:r>
        <w:r w:rsidR="00E46A18">
          <w:rPr>
            <w:noProof/>
            <w:webHidden/>
          </w:rPr>
          <w:fldChar w:fldCharType="begin"/>
        </w:r>
        <w:r w:rsidR="00E46A18">
          <w:rPr>
            <w:noProof/>
            <w:webHidden/>
          </w:rPr>
          <w:instrText xml:space="preserve"> PAGEREF _Toc95398344 \h </w:instrText>
        </w:r>
        <w:r w:rsidR="00E46A18">
          <w:rPr>
            <w:noProof/>
            <w:webHidden/>
          </w:rPr>
        </w:r>
        <w:r w:rsidR="00E46A18">
          <w:rPr>
            <w:noProof/>
            <w:webHidden/>
          </w:rPr>
          <w:fldChar w:fldCharType="separate"/>
        </w:r>
        <w:r w:rsidR="00AB520B">
          <w:rPr>
            <w:noProof/>
            <w:webHidden/>
          </w:rPr>
          <w:t>14</w:t>
        </w:r>
        <w:r w:rsidR="00E46A18">
          <w:rPr>
            <w:noProof/>
            <w:webHidden/>
          </w:rPr>
          <w:fldChar w:fldCharType="end"/>
        </w:r>
      </w:hyperlink>
    </w:p>
    <w:p w14:paraId="412A94A2" w14:textId="4E5882DD" w:rsidR="002948CE" w:rsidRDefault="005739E1" w:rsidP="002948CE">
      <w:r>
        <w:fldChar w:fldCharType="end"/>
      </w:r>
    </w:p>
    <w:p w14:paraId="7D9248F0" w14:textId="77777777" w:rsidR="00792C72" w:rsidRPr="00792C72" w:rsidRDefault="00792C72" w:rsidP="00792C72"/>
    <w:p w14:paraId="0FDCCDB7" w14:textId="77777777" w:rsidR="00792C72" w:rsidRPr="00792C72" w:rsidRDefault="00792C72" w:rsidP="00792C72"/>
    <w:p w14:paraId="628AE794" w14:textId="77777777" w:rsidR="00BA0058" w:rsidRDefault="00BA0058" w:rsidP="00BA0058">
      <w:pPr>
        <w:pStyle w:val="Heading1"/>
        <w:sectPr w:rsidR="00BA0058" w:rsidSect="00BA005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7366FE6A" w14:textId="68C82D9E" w:rsidR="00627212" w:rsidRPr="00EB324F" w:rsidRDefault="005739E1" w:rsidP="00BA0058">
      <w:pPr>
        <w:pStyle w:val="Heading1"/>
      </w:pPr>
      <w:bookmarkStart w:id="0" w:name="_Toc95398342"/>
      <w:r w:rsidRPr="00EB324F">
        <w:lastRenderedPageBreak/>
        <w:t>Introduction</w:t>
      </w:r>
      <w:bookmarkEnd w:id="0"/>
    </w:p>
    <w:p w14:paraId="513B2C4E" w14:textId="77777777" w:rsidR="0078447C" w:rsidRPr="00BA0058" w:rsidRDefault="0078447C" w:rsidP="00BA0058">
      <w:pPr>
        <w:pStyle w:val="Heading2"/>
      </w:pPr>
      <w:r w:rsidRPr="00BA0058">
        <w:t>Purpose</w:t>
      </w:r>
    </w:p>
    <w:p w14:paraId="37EC7BC4" w14:textId="315DFA59" w:rsidR="001A3C57" w:rsidRDefault="003F650D" w:rsidP="00BA0058">
      <w:pPr>
        <w:pStyle w:val="NumberedParagraph"/>
      </w:pPr>
      <w:r>
        <w:t>The requirements of the Ionising Radiations Regulations 2017</w:t>
      </w:r>
      <w:r w:rsidR="000346F6">
        <w:t xml:space="preserve"> </w:t>
      </w:r>
      <w:r>
        <w:t>(IRR17)</w:t>
      </w:r>
      <w:r w:rsidR="000346F6">
        <w:t xml:space="preserve"> </w:t>
      </w:r>
      <w:sdt>
        <w:sdtPr>
          <w:id w:val="-1358503149"/>
          <w:citation/>
        </w:sdtPr>
        <w:sdtEndPr/>
        <w:sdtContent>
          <w:r w:rsidR="000346F6">
            <w:fldChar w:fldCharType="begin"/>
          </w:r>
          <w:r w:rsidR="007C704E">
            <w:instrText xml:space="preserve">CITATION L121 \l 2057 </w:instrText>
          </w:r>
          <w:r w:rsidR="000346F6">
            <w:fldChar w:fldCharType="separate"/>
          </w:r>
          <w:r w:rsidR="00BA0058">
            <w:rPr>
              <w:noProof/>
            </w:rPr>
            <w:t>[1]</w:t>
          </w:r>
          <w:r w:rsidR="000346F6">
            <w:fldChar w:fldCharType="end"/>
          </w:r>
        </w:sdtContent>
      </w:sdt>
      <w:r>
        <w:t xml:space="preserve"> </w:t>
      </w:r>
      <w:r w:rsidR="00D534F4">
        <w:t xml:space="preserve">and the </w:t>
      </w:r>
      <w:r w:rsidR="00D534F4" w:rsidRPr="00AF683D">
        <w:t>Carriage of Dangerous Goods Regulations 20</w:t>
      </w:r>
      <w:r w:rsidR="00D534F4">
        <w:t>09</w:t>
      </w:r>
      <w:r w:rsidR="00D534F4" w:rsidRPr="00AF683D">
        <w:t xml:space="preserve"> (CDG</w:t>
      </w:r>
      <w:r w:rsidR="00D534F4">
        <w:t>09</w:t>
      </w:r>
      <w:r w:rsidR="00D534F4" w:rsidRPr="00AF683D">
        <w:t>)</w:t>
      </w:r>
      <w:sdt>
        <w:sdtPr>
          <w:id w:val="-1169089233"/>
          <w:citation/>
        </w:sdtPr>
        <w:sdtEndPr/>
        <w:sdtContent>
          <w:r w:rsidR="001E085A">
            <w:fldChar w:fldCharType="begin"/>
          </w:r>
          <w:r w:rsidR="003E3BAB">
            <w:instrText xml:space="preserve">CITATION CDG09 \l 2057 </w:instrText>
          </w:r>
          <w:r w:rsidR="001E085A">
            <w:fldChar w:fldCharType="separate"/>
          </w:r>
          <w:r w:rsidR="00BA0058">
            <w:rPr>
              <w:noProof/>
            </w:rPr>
            <w:t xml:space="preserve"> [2]</w:t>
          </w:r>
          <w:r w:rsidR="001E085A">
            <w:fldChar w:fldCharType="end"/>
          </w:r>
        </w:sdtContent>
      </w:sdt>
      <w:r w:rsidR="001E085A">
        <w:t xml:space="preserve"> </w:t>
      </w:r>
      <w:r>
        <w:t>in relation to the civil transport of radioactive material by road</w:t>
      </w:r>
      <w:r w:rsidR="00951121">
        <w:t xml:space="preserve">, </w:t>
      </w:r>
      <w:r>
        <w:t>rail</w:t>
      </w:r>
      <w:r w:rsidR="00951121">
        <w:t xml:space="preserve"> and inland waterway</w:t>
      </w:r>
      <w:r>
        <w:t xml:space="preserve"> are enforced by the Office for Nuclear Regulation (ONR). </w:t>
      </w:r>
    </w:p>
    <w:p w14:paraId="6BBDB1CB" w14:textId="6CBC5AB7" w:rsidR="00BC7EE9" w:rsidRPr="00AF683D" w:rsidRDefault="00BC7EE9" w:rsidP="00BA0058">
      <w:pPr>
        <w:pStyle w:val="NumberedParagraph"/>
      </w:pPr>
      <w:r w:rsidRPr="00AF683D">
        <w:t>CDG</w:t>
      </w:r>
      <w:r>
        <w:t>09</w:t>
      </w:r>
      <w:r w:rsidR="00C42B97">
        <w:t xml:space="preserve"> </w:t>
      </w:r>
      <w:r w:rsidRPr="00AF683D">
        <w:t xml:space="preserve">makes an explicit link between </w:t>
      </w:r>
      <w:r w:rsidR="006C6C61">
        <w:t xml:space="preserve">IRR17 </w:t>
      </w:r>
      <w:r w:rsidR="00082776">
        <w:t xml:space="preserve">radiation </w:t>
      </w:r>
      <w:r w:rsidRPr="00AF683D">
        <w:t>risk assessment</w:t>
      </w:r>
      <w:r w:rsidR="00A225FC">
        <w:t>s</w:t>
      </w:r>
      <w:r w:rsidRPr="00AF683D">
        <w:t xml:space="preserve"> </w:t>
      </w:r>
      <w:r w:rsidR="004A7F41">
        <w:t>(RRA</w:t>
      </w:r>
      <w:r w:rsidR="009367C8">
        <w:t>s</w:t>
      </w:r>
      <w:r w:rsidR="004A7F41">
        <w:t xml:space="preserve">) </w:t>
      </w:r>
      <w:r w:rsidRPr="00AF683D">
        <w:t xml:space="preserve">and </w:t>
      </w:r>
      <w:r w:rsidR="00640A4E">
        <w:t>CDG</w:t>
      </w:r>
      <w:r w:rsidR="00CF6783">
        <w:t xml:space="preserve">09 </w:t>
      </w:r>
      <w:r w:rsidRPr="00AF683D">
        <w:t>emergency planning</w:t>
      </w:r>
      <w:r w:rsidR="00C814D5">
        <w:t xml:space="preserve"> requirements</w:t>
      </w:r>
      <w:r w:rsidR="000944A7">
        <w:t>.</w:t>
      </w:r>
      <w:r w:rsidR="00C814D5">
        <w:t xml:space="preserve"> </w:t>
      </w:r>
      <w:r w:rsidR="000944A7">
        <w:t>T</w:t>
      </w:r>
      <w:r w:rsidRPr="00AF683D">
        <w:t xml:space="preserve">hose </w:t>
      </w:r>
      <w:r w:rsidR="000944A7">
        <w:t xml:space="preserve">involved in </w:t>
      </w:r>
      <w:r w:rsidRPr="00AF683D">
        <w:t>transporting class 7</w:t>
      </w:r>
      <w:r w:rsidR="000418F4">
        <w:t xml:space="preserve"> (radioactive</w:t>
      </w:r>
      <w:r w:rsidR="004259E8">
        <w:t xml:space="preserve"> material</w:t>
      </w:r>
      <w:r w:rsidR="000418F4">
        <w:t>)</w:t>
      </w:r>
      <w:r w:rsidRPr="00AF683D">
        <w:t xml:space="preserve"> goods</w:t>
      </w:r>
      <w:r w:rsidR="000418F4">
        <w:t xml:space="preserve"> </w:t>
      </w:r>
      <w:r w:rsidRPr="00AF683D">
        <w:t xml:space="preserve">(consignors or carriers) </w:t>
      </w:r>
      <w:r w:rsidR="00C16244">
        <w:t>must</w:t>
      </w:r>
      <w:r w:rsidRPr="00AF683D">
        <w:t xml:space="preserve"> carry out a </w:t>
      </w:r>
      <w:r w:rsidR="004A7F41">
        <w:t>RRA</w:t>
      </w:r>
      <w:r w:rsidRPr="00AF683D">
        <w:t xml:space="preserve"> and </w:t>
      </w:r>
      <w:r w:rsidR="00953CA4">
        <w:t xml:space="preserve">use </w:t>
      </w:r>
      <w:r w:rsidRPr="00AF683D">
        <w:t>the findings</w:t>
      </w:r>
      <w:r w:rsidR="00953CA4">
        <w:t xml:space="preserve"> to inform</w:t>
      </w:r>
      <w:r w:rsidR="006A5CC8">
        <w:t xml:space="preserve"> the </w:t>
      </w:r>
      <w:r w:rsidR="001E085A">
        <w:t xml:space="preserve">type </w:t>
      </w:r>
      <w:r w:rsidR="006A5CC8">
        <w:t xml:space="preserve">of </w:t>
      </w:r>
      <w:r w:rsidR="0098284D">
        <w:t xml:space="preserve">accident and </w:t>
      </w:r>
      <w:r w:rsidR="006A5CC8">
        <w:t xml:space="preserve">emergency arrangements </w:t>
      </w:r>
      <w:r w:rsidR="00C16244">
        <w:t>required to be produced.</w:t>
      </w:r>
    </w:p>
    <w:p w14:paraId="5DABE556" w14:textId="615EB10C" w:rsidR="003F650D" w:rsidRDefault="003F650D" w:rsidP="00BA0058">
      <w:pPr>
        <w:pStyle w:val="NumberedParagraph"/>
      </w:pPr>
      <w:r>
        <w:t xml:space="preserve">The following guidance sets out ONR’s expectations in relation to what constitutes a ‘suitable and sufficient’ </w:t>
      </w:r>
      <w:r w:rsidR="00AE4F7A">
        <w:t>RRA</w:t>
      </w:r>
      <w:r w:rsidR="002A39EA">
        <w:t xml:space="preserve"> in relation to the transport of radioactive material </w:t>
      </w:r>
      <w:r>
        <w:t>as required by Regulation 8 of IRR17. In developing this guidance ONR has liaised with the Health and Safety Executive (HSE) in line with the Memorandum of Understanding</w:t>
      </w:r>
      <w:r w:rsidR="000346F6">
        <w:t xml:space="preserve"> </w:t>
      </w:r>
      <w:sdt>
        <w:sdtPr>
          <w:id w:val="-1756507349"/>
          <w:citation/>
        </w:sdtPr>
        <w:sdtEndPr/>
        <w:sdtContent>
          <w:r w:rsidR="000346F6">
            <w:fldChar w:fldCharType="begin"/>
          </w:r>
          <w:r w:rsidR="007C704E">
            <w:instrText xml:space="preserve">CITATION MemHSEONR \l 2057 </w:instrText>
          </w:r>
          <w:r w:rsidR="000346F6">
            <w:fldChar w:fldCharType="separate"/>
          </w:r>
          <w:r w:rsidR="00BA0058">
            <w:rPr>
              <w:noProof/>
            </w:rPr>
            <w:t>[3]</w:t>
          </w:r>
          <w:r w:rsidR="000346F6">
            <w:fldChar w:fldCharType="end"/>
          </w:r>
        </w:sdtContent>
      </w:sdt>
      <w:r>
        <w:t xml:space="preserve"> relating to effective regulation of the transport of radioactive material. </w:t>
      </w:r>
    </w:p>
    <w:p w14:paraId="2BDBEF76" w14:textId="4FBC015B" w:rsidR="00FD1450" w:rsidRDefault="003F650D" w:rsidP="00BA0058">
      <w:pPr>
        <w:pStyle w:val="NumberedParagraph"/>
      </w:pPr>
      <w:r>
        <w:t>Reference is made to IRR17, the Approved Code of Practice (</w:t>
      </w:r>
      <w:proofErr w:type="spellStart"/>
      <w:r>
        <w:t>ACoP</w:t>
      </w:r>
      <w:proofErr w:type="spellEnd"/>
      <w:r>
        <w:t xml:space="preserve">) and supporting guidance contained within ‘Work with ionising radiation’ </w:t>
      </w:r>
      <w:r w:rsidR="00BA0058">
        <w:br/>
      </w:r>
      <w:r>
        <w:t>(L121, 2</w:t>
      </w:r>
      <w:r w:rsidRPr="00BA0058">
        <w:rPr>
          <w:vertAlign w:val="superscript"/>
        </w:rPr>
        <w:t>nd</w:t>
      </w:r>
      <w:r w:rsidR="00BA0058">
        <w:t xml:space="preserve"> </w:t>
      </w:r>
      <w:r>
        <w:t>edition)</w:t>
      </w:r>
      <w:r w:rsidR="000346F6">
        <w:t xml:space="preserve"> </w:t>
      </w:r>
      <w:sdt>
        <w:sdtPr>
          <w:id w:val="1552728955"/>
          <w:citation/>
        </w:sdtPr>
        <w:sdtEndPr/>
        <w:sdtContent>
          <w:r w:rsidR="000346F6">
            <w:fldChar w:fldCharType="begin"/>
          </w:r>
          <w:r w:rsidR="007C704E">
            <w:instrText xml:space="preserve">CITATION L121 \l 2057 </w:instrText>
          </w:r>
          <w:r w:rsidR="000346F6">
            <w:fldChar w:fldCharType="separate"/>
          </w:r>
          <w:r w:rsidR="00BA0058">
            <w:rPr>
              <w:noProof/>
            </w:rPr>
            <w:t>[1]</w:t>
          </w:r>
          <w:r w:rsidR="000346F6">
            <w:fldChar w:fldCharType="end"/>
          </w:r>
        </w:sdtContent>
      </w:sdt>
      <w:r>
        <w:t xml:space="preserve">. Paragraphs 62 to 84 provide </w:t>
      </w:r>
      <w:r w:rsidR="00DA28F2">
        <w:t>guidance</w:t>
      </w:r>
      <w:r>
        <w:t xml:space="preserve"> in relation to RRA</w:t>
      </w:r>
      <w:r w:rsidR="005740B0">
        <w:t>s</w:t>
      </w:r>
      <w:r w:rsidR="000418F4" w:rsidRPr="000418F4">
        <w:t xml:space="preserve">, with paragraphs 70 and 71 clearly distinguished as </w:t>
      </w:r>
      <w:proofErr w:type="spellStart"/>
      <w:r w:rsidR="000418F4" w:rsidRPr="000418F4">
        <w:t>ACoP</w:t>
      </w:r>
      <w:proofErr w:type="spellEnd"/>
      <w:r w:rsidR="000418F4" w:rsidRPr="000418F4">
        <w:t xml:space="preserve"> (code with a special legal status that gives practical advice on how to comply with the law)</w:t>
      </w:r>
      <w:r>
        <w:t>.</w:t>
      </w:r>
    </w:p>
    <w:p w14:paraId="46BAAAC7" w14:textId="4B2D66C5" w:rsidR="00DB71CA" w:rsidRPr="002050C1" w:rsidRDefault="002948CE" w:rsidP="00BA0058">
      <w:pPr>
        <w:pStyle w:val="Heading2"/>
      </w:pPr>
      <w:r w:rsidRPr="002050C1">
        <w:t>Scope</w:t>
      </w:r>
      <w:r w:rsidR="0063145C" w:rsidRPr="002050C1">
        <w:t xml:space="preserve"> </w:t>
      </w:r>
      <w:r w:rsidR="00BA0058">
        <w:t>and</w:t>
      </w:r>
      <w:r w:rsidR="0063145C" w:rsidRPr="002050C1">
        <w:t xml:space="preserve"> Applicability</w:t>
      </w:r>
    </w:p>
    <w:p w14:paraId="02367734" w14:textId="6AF5D65F" w:rsidR="00DB71CA" w:rsidRPr="002050C1" w:rsidRDefault="003F650D" w:rsidP="00BA0058">
      <w:pPr>
        <w:pStyle w:val="NumberedParagraph"/>
      </w:pPr>
      <w:r>
        <w:t>Transport as defined in IRR17</w:t>
      </w:r>
      <w:r w:rsidR="000346F6">
        <w:t xml:space="preserve"> </w:t>
      </w:r>
      <w:sdt>
        <w:sdtPr>
          <w:id w:val="-1741157193"/>
          <w:citation/>
        </w:sdtPr>
        <w:sdtEndPr/>
        <w:sdtContent>
          <w:r w:rsidR="000346F6">
            <w:fldChar w:fldCharType="begin"/>
          </w:r>
          <w:r w:rsidR="007C704E">
            <w:instrText xml:space="preserve">CITATION L121 \l 2057 </w:instrText>
          </w:r>
          <w:r w:rsidR="000346F6">
            <w:fldChar w:fldCharType="separate"/>
          </w:r>
          <w:r w:rsidR="00BA0058">
            <w:rPr>
              <w:noProof/>
            </w:rPr>
            <w:t>[1]</w:t>
          </w:r>
          <w:r w:rsidR="000346F6">
            <w:fldChar w:fldCharType="end"/>
          </w:r>
        </w:sdtContent>
      </w:sdt>
      <w:r>
        <w:t xml:space="preserve"> means carriage of a radioactive substance by road, rail, inland waterway, </w:t>
      </w:r>
      <w:proofErr w:type="gramStart"/>
      <w:r>
        <w:t>sea</w:t>
      </w:r>
      <w:proofErr w:type="gramEnd"/>
      <w:r>
        <w:t xml:space="preserve"> or air. </w:t>
      </w:r>
      <w:r w:rsidR="00C3299B">
        <w:t>The IRR17 definition of transport also states that a radioactive substance is deemed to be transported from the time it is loaded onto a conveyance until it is unloaded from the conveyance. Under the Health and Safety (Enforcing Authority) Regulations 1998</w:t>
      </w:r>
      <w:r w:rsidR="001E085A">
        <w:t xml:space="preserve"> </w:t>
      </w:r>
      <w:sdt>
        <w:sdtPr>
          <w:id w:val="-72514682"/>
          <w:citation/>
        </w:sdtPr>
        <w:sdtEndPr/>
        <w:sdtContent>
          <w:r w:rsidR="001E085A">
            <w:fldChar w:fldCharType="begin"/>
          </w:r>
          <w:r w:rsidR="001E085A">
            <w:instrText xml:space="preserve"> CITATION HSreg98 \l 2057 </w:instrText>
          </w:r>
          <w:r w:rsidR="001E085A">
            <w:fldChar w:fldCharType="separate"/>
          </w:r>
          <w:r w:rsidR="00BA0058">
            <w:rPr>
              <w:noProof/>
            </w:rPr>
            <w:t>[4]</w:t>
          </w:r>
          <w:r w:rsidR="001E085A">
            <w:fldChar w:fldCharType="end"/>
          </w:r>
        </w:sdtContent>
      </w:sdt>
      <w:r w:rsidR="001E085A">
        <w:t xml:space="preserve"> </w:t>
      </w:r>
      <w:r>
        <w:t xml:space="preserve">ONR, as the enforcing authority for IRR17, has a wider enforcement responsibility and will therefore consider IRR17 requirements as they apply to preparation of a package, </w:t>
      </w:r>
      <w:r w:rsidR="00C3299B">
        <w:t xml:space="preserve">loading, </w:t>
      </w:r>
      <w:r>
        <w:t xml:space="preserve">in-transit storage and unloading at </w:t>
      </w:r>
      <w:r w:rsidR="00C3299B">
        <w:t xml:space="preserve">its </w:t>
      </w:r>
      <w:r>
        <w:t>destination as well as carriage. As such employers should ensure they have prepared ‘suitable and sufficient’ RRA</w:t>
      </w:r>
      <w:r w:rsidR="00177919">
        <w:t>s</w:t>
      </w:r>
      <w:r>
        <w:t xml:space="preserve"> that reflect this range of practices, both in relation to normal transport operations and transport events</w:t>
      </w:r>
      <w:r w:rsidR="00FC6D5A">
        <w:t xml:space="preserve"> (</w:t>
      </w:r>
      <w:r w:rsidR="00057C97">
        <w:t>accidents, breakdowns, theft etc)</w:t>
      </w:r>
      <w:r>
        <w:t xml:space="preserve">. Significant assessment findings must be recorded where an employer has </w:t>
      </w:r>
      <w:r w:rsidR="001E085A">
        <w:t>five</w:t>
      </w:r>
      <w:r>
        <w:t xml:space="preserve"> or more employees.</w:t>
      </w:r>
    </w:p>
    <w:p w14:paraId="39209CC4" w14:textId="77777777" w:rsidR="00BA0058" w:rsidRDefault="00BA0058" w:rsidP="00BA0058">
      <w:pPr>
        <w:pStyle w:val="Heading2"/>
        <w:sectPr w:rsidR="00BA0058" w:rsidSect="00BA0058">
          <w:headerReference w:type="default" r:id="rId14"/>
          <w:pgSz w:w="11906" w:h="16838"/>
          <w:pgMar w:top="1440" w:right="1440" w:bottom="1440" w:left="1440" w:header="708" w:footer="708" w:gutter="0"/>
          <w:cols w:space="708"/>
          <w:docGrid w:linePitch="360"/>
        </w:sectPr>
      </w:pPr>
    </w:p>
    <w:p w14:paraId="36862C58" w14:textId="6C27421F" w:rsidR="0078447C" w:rsidRPr="002050C1" w:rsidRDefault="0078447C" w:rsidP="00BA0058">
      <w:pPr>
        <w:pStyle w:val="Heading2"/>
      </w:pPr>
      <w:r w:rsidRPr="002050C1">
        <w:lastRenderedPageBreak/>
        <w:t>Definitions</w:t>
      </w:r>
    </w:p>
    <w:p w14:paraId="44C9E87C" w14:textId="578CF056" w:rsidR="002F1622" w:rsidRPr="00BA0058" w:rsidRDefault="002F1622" w:rsidP="002F1622">
      <w:pPr>
        <w:pStyle w:val="Caption"/>
        <w:rPr>
          <w:rFonts w:cs="Arial"/>
          <w:sz w:val="22"/>
          <w:szCs w:val="22"/>
        </w:rPr>
      </w:pPr>
      <w:r w:rsidRPr="00BA0058">
        <w:rPr>
          <w:rFonts w:cs="Arial"/>
          <w:sz w:val="22"/>
          <w:szCs w:val="22"/>
        </w:rPr>
        <w:t xml:space="preserve">Table </w:t>
      </w:r>
      <w:r w:rsidR="002050C1" w:rsidRPr="00BA0058">
        <w:rPr>
          <w:rFonts w:cs="Arial"/>
          <w:sz w:val="22"/>
          <w:szCs w:val="22"/>
        </w:rPr>
        <w:fldChar w:fldCharType="begin"/>
      </w:r>
      <w:r w:rsidR="002050C1" w:rsidRPr="00BA0058">
        <w:rPr>
          <w:rFonts w:cs="Arial"/>
          <w:sz w:val="22"/>
          <w:szCs w:val="22"/>
        </w:rPr>
        <w:instrText xml:space="preserve"> SEQ Table \* ARABIC </w:instrText>
      </w:r>
      <w:r w:rsidR="002050C1" w:rsidRPr="00BA0058">
        <w:rPr>
          <w:rFonts w:cs="Arial"/>
          <w:sz w:val="22"/>
          <w:szCs w:val="22"/>
        </w:rPr>
        <w:fldChar w:fldCharType="separate"/>
      </w:r>
      <w:r w:rsidR="0079753F" w:rsidRPr="00BA0058">
        <w:rPr>
          <w:rFonts w:cs="Arial"/>
          <w:noProof/>
          <w:sz w:val="22"/>
          <w:szCs w:val="22"/>
        </w:rPr>
        <w:t>1</w:t>
      </w:r>
      <w:r w:rsidR="002050C1" w:rsidRPr="00BA0058">
        <w:rPr>
          <w:rFonts w:cs="Arial"/>
          <w:noProof/>
          <w:sz w:val="22"/>
          <w:szCs w:val="22"/>
        </w:rPr>
        <w:fldChar w:fldCharType="end"/>
      </w:r>
      <w:r w:rsidR="00EB324F" w:rsidRPr="00BA0058">
        <w:rPr>
          <w:rFonts w:cs="Arial"/>
          <w:noProof/>
          <w:sz w:val="22"/>
          <w:szCs w:val="22"/>
        </w:rPr>
        <w:t>:</w:t>
      </w:r>
      <w:r w:rsidRPr="00BA0058">
        <w:rPr>
          <w:rFonts w:cs="Arial"/>
          <w:sz w:val="22"/>
          <w:szCs w:val="22"/>
        </w:rPr>
        <w:t xml:space="preserve"> Table of Definitions</w:t>
      </w:r>
    </w:p>
    <w:tbl>
      <w:tblPr>
        <w:tblW w:w="5000" w:type="pct"/>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Look w:val="04A0" w:firstRow="1" w:lastRow="0" w:firstColumn="1" w:lastColumn="0" w:noHBand="0" w:noVBand="1"/>
      </w:tblPr>
      <w:tblGrid>
        <w:gridCol w:w="2041"/>
        <w:gridCol w:w="6975"/>
      </w:tblGrid>
      <w:tr w:rsidR="005739E1" w:rsidRPr="00BA0058" w14:paraId="343C3E6B" w14:textId="77777777" w:rsidTr="005739E1">
        <w:tc>
          <w:tcPr>
            <w:tcW w:w="1132" w:type="pct"/>
            <w:shd w:val="clear" w:color="auto" w:fill="006D68"/>
          </w:tcPr>
          <w:p w14:paraId="10E8BAC9" w14:textId="77777777" w:rsidR="0078447C" w:rsidRPr="00BA0058" w:rsidRDefault="0078447C" w:rsidP="00135CC2">
            <w:pPr>
              <w:spacing w:before="60" w:after="60"/>
              <w:rPr>
                <w:rFonts w:cs="Arial"/>
                <w:bCs/>
                <w:color w:val="FFFFFF" w:themeColor="background1"/>
              </w:rPr>
            </w:pPr>
            <w:r w:rsidRPr="00BA0058">
              <w:rPr>
                <w:rFonts w:cs="Arial"/>
                <w:bCs/>
                <w:color w:val="FFFFFF" w:themeColor="background1"/>
              </w:rPr>
              <w:t>Term/Acronym</w:t>
            </w:r>
          </w:p>
        </w:tc>
        <w:tc>
          <w:tcPr>
            <w:tcW w:w="3868" w:type="pct"/>
            <w:shd w:val="clear" w:color="auto" w:fill="006D68"/>
          </w:tcPr>
          <w:p w14:paraId="4B526D69" w14:textId="77777777" w:rsidR="0078447C" w:rsidRPr="00BA0058" w:rsidRDefault="0078447C" w:rsidP="00135CC2">
            <w:pPr>
              <w:spacing w:before="60" w:after="60"/>
              <w:rPr>
                <w:rFonts w:cs="Arial"/>
                <w:bCs/>
                <w:color w:val="FFFFFF" w:themeColor="background1"/>
              </w:rPr>
            </w:pPr>
            <w:r w:rsidRPr="00BA0058">
              <w:rPr>
                <w:rFonts w:cs="Arial"/>
                <w:bCs/>
                <w:color w:val="FFFFFF" w:themeColor="background1"/>
              </w:rPr>
              <w:t>Description</w:t>
            </w:r>
          </w:p>
        </w:tc>
      </w:tr>
      <w:tr w:rsidR="005A4811" w:rsidRPr="00EB324F" w14:paraId="499852FE" w14:textId="77777777" w:rsidTr="002403C2">
        <w:tc>
          <w:tcPr>
            <w:tcW w:w="1132" w:type="pct"/>
            <w:shd w:val="clear" w:color="auto" w:fill="auto"/>
          </w:tcPr>
          <w:p w14:paraId="23E2B6FA" w14:textId="2B2B09B8" w:rsidR="005A4811" w:rsidRDefault="005A4811" w:rsidP="00C3299B">
            <w:pPr>
              <w:spacing w:before="60" w:after="60"/>
              <w:rPr>
                <w:rFonts w:cs="Arial"/>
                <w:sz w:val="22"/>
                <w:szCs w:val="22"/>
              </w:rPr>
            </w:pPr>
            <w:proofErr w:type="spellStart"/>
            <w:r>
              <w:rPr>
                <w:rFonts w:cs="Arial"/>
                <w:sz w:val="22"/>
                <w:szCs w:val="22"/>
              </w:rPr>
              <w:t>ACoP</w:t>
            </w:r>
            <w:proofErr w:type="spellEnd"/>
          </w:p>
        </w:tc>
        <w:tc>
          <w:tcPr>
            <w:tcW w:w="3868" w:type="pct"/>
            <w:shd w:val="clear" w:color="auto" w:fill="auto"/>
          </w:tcPr>
          <w:p w14:paraId="4B9260CC" w14:textId="556C4D1D" w:rsidR="005A4811" w:rsidRDefault="005A4811" w:rsidP="00C3299B">
            <w:pPr>
              <w:spacing w:before="60" w:after="60"/>
              <w:rPr>
                <w:rFonts w:cs="Arial"/>
                <w:sz w:val="22"/>
                <w:szCs w:val="22"/>
              </w:rPr>
            </w:pPr>
            <w:r>
              <w:rPr>
                <w:rFonts w:cs="Arial"/>
                <w:sz w:val="22"/>
                <w:szCs w:val="22"/>
              </w:rPr>
              <w:t>Approved Code of Practice</w:t>
            </w:r>
          </w:p>
        </w:tc>
      </w:tr>
      <w:tr w:rsidR="00CD0682" w:rsidRPr="00EB324F" w14:paraId="43E55031" w14:textId="77777777" w:rsidTr="002403C2">
        <w:tc>
          <w:tcPr>
            <w:tcW w:w="1132" w:type="pct"/>
            <w:shd w:val="clear" w:color="auto" w:fill="auto"/>
          </w:tcPr>
          <w:p w14:paraId="6DB584D5" w14:textId="09B7FA59" w:rsidR="00CD0682" w:rsidRDefault="00CD0682" w:rsidP="00C3299B">
            <w:pPr>
              <w:spacing w:before="60" w:after="60"/>
              <w:rPr>
                <w:rFonts w:cs="Arial"/>
                <w:sz w:val="22"/>
                <w:szCs w:val="22"/>
              </w:rPr>
            </w:pPr>
            <w:r>
              <w:rPr>
                <w:rFonts w:cs="Arial"/>
                <w:sz w:val="22"/>
                <w:szCs w:val="22"/>
              </w:rPr>
              <w:t>ADR</w:t>
            </w:r>
          </w:p>
        </w:tc>
        <w:tc>
          <w:tcPr>
            <w:tcW w:w="3868" w:type="pct"/>
            <w:shd w:val="clear" w:color="auto" w:fill="auto"/>
          </w:tcPr>
          <w:p w14:paraId="67B5C8CD" w14:textId="410FBC96" w:rsidR="00CD0682" w:rsidRDefault="00CD0682" w:rsidP="00C3299B">
            <w:pPr>
              <w:spacing w:before="60" w:after="60"/>
              <w:rPr>
                <w:rFonts w:cs="Arial"/>
                <w:sz w:val="22"/>
                <w:szCs w:val="22"/>
              </w:rPr>
            </w:pPr>
            <w:r w:rsidRPr="00CD0682">
              <w:rPr>
                <w:rFonts w:cs="Arial"/>
                <w:sz w:val="22"/>
                <w:szCs w:val="22"/>
              </w:rPr>
              <w:t>The Agreement concerning the International Carriage of Dangerous Goods by Road</w:t>
            </w:r>
          </w:p>
        </w:tc>
      </w:tr>
      <w:tr w:rsidR="00CD0682" w:rsidRPr="00EB324F" w14:paraId="2DAFF6A1" w14:textId="77777777" w:rsidTr="002403C2">
        <w:tc>
          <w:tcPr>
            <w:tcW w:w="1132" w:type="pct"/>
            <w:shd w:val="clear" w:color="auto" w:fill="auto"/>
          </w:tcPr>
          <w:p w14:paraId="3B85C675" w14:textId="03685890" w:rsidR="00CD0682" w:rsidRDefault="00CD0682" w:rsidP="00CD0682">
            <w:pPr>
              <w:spacing w:before="60" w:after="60"/>
              <w:rPr>
                <w:rFonts w:cs="Arial"/>
                <w:sz w:val="22"/>
                <w:szCs w:val="22"/>
              </w:rPr>
            </w:pPr>
            <w:r>
              <w:rPr>
                <w:rFonts w:cs="Arial"/>
                <w:sz w:val="22"/>
                <w:szCs w:val="22"/>
              </w:rPr>
              <w:t>ALARP</w:t>
            </w:r>
          </w:p>
        </w:tc>
        <w:tc>
          <w:tcPr>
            <w:tcW w:w="3868" w:type="pct"/>
            <w:shd w:val="clear" w:color="auto" w:fill="auto"/>
          </w:tcPr>
          <w:p w14:paraId="161B3AEB" w14:textId="3508C4D0" w:rsidR="00CD0682" w:rsidRDefault="00CD0682" w:rsidP="00CD0682">
            <w:pPr>
              <w:spacing w:before="60" w:after="60"/>
              <w:rPr>
                <w:rFonts w:cs="Arial"/>
                <w:sz w:val="22"/>
                <w:szCs w:val="22"/>
              </w:rPr>
            </w:pPr>
            <w:r>
              <w:rPr>
                <w:rFonts w:cs="Arial"/>
                <w:sz w:val="22"/>
                <w:szCs w:val="22"/>
              </w:rPr>
              <w:t xml:space="preserve">As Low </w:t>
            </w:r>
            <w:proofErr w:type="gramStart"/>
            <w:r>
              <w:rPr>
                <w:rFonts w:cs="Arial"/>
                <w:sz w:val="22"/>
                <w:szCs w:val="22"/>
              </w:rPr>
              <w:t>As</w:t>
            </w:r>
            <w:proofErr w:type="gramEnd"/>
            <w:r>
              <w:rPr>
                <w:rFonts w:cs="Arial"/>
                <w:sz w:val="22"/>
                <w:szCs w:val="22"/>
              </w:rPr>
              <w:t xml:space="preserve"> </w:t>
            </w:r>
            <w:r w:rsidR="009C662B">
              <w:rPr>
                <w:rFonts w:cs="Arial"/>
                <w:sz w:val="22"/>
                <w:szCs w:val="22"/>
              </w:rPr>
              <w:t>R</w:t>
            </w:r>
            <w:r>
              <w:rPr>
                <w:rFonts w:cs="Arial"/>
                <w:sz w:val="22"/>
                <w:szCs w:val="22"/>
              </w:rPr>
              <w:t xml:space="preserve">easonably </w:t>
            </w:r>
            <w:proofErr w:type="spellStart"/>
            <w:r>
              <w:rPr>
                <w:rFonts w:cs="Arial"/>
                <w:sz w:val="22"/>
                <w:szCs w:val="22"/>
              </w:rPr>
              <w:t>Praticable</w:t>
            </w:r>
            <w:proofErr w:type="spellEnd"/>
            <w:r>
              <w:rPr>
                <w:rFonts w:cs="Arial"/>
                <w:sz w:val="22"/>
                <w:szCs w:val="22"/>
              </w:rPr>
              <w:t xml:space="preserve"> </w:t>
            </w:r>
          </w:p>
        </w:tc>
      </w:tr>
      <w:tr w:rsidR="00CD0682" w:rsidRPr="00EB324F" w14:paraId="112B904C" w14:textId="77777777" w:rsidTr="002403C2">
        <w:tc>
          <w:tcPr>
            <w:tcW w:w="1132" w:type="pct"/>
            <w:shd w:val="clear" w:color="auto" w:fill="auto"/>
          </w:tcPr>
          <w:p w14:paraId="06337095" w14:textId="6E98981D" w:rsidR="00CD0682" w:rsidRPr="00EB324F" w:rsidRDefault="00CD0682" w:rsidP="00CD0682">
            <w:pPr>
              <w:spacing w:before="60" w:after="60"/>
              <w:rPr>
                <w:rFonts w:cs="Arial"/>
                <w:sz w:val="22"/>
                <w:szCs w:val="22"/>
              </w:rPr>
            </w:pPr>
            <w:r>
              <w:rPr>
                <w:rFonts w:cs="Arial"/>
                <w:sz w:val="22"/>
                <w:szCs w:val="22"/>
              </w:rPr>
              <w:t>ONR</w:t>
            </w:r>
          </w:p>
        </w:tc>
        <w:tc>
          <w:tcPr>
            <w:tcW w:w="3868" w:type="pct"/>
            <w:shd w:val="clear" w:color="auto" w:fill="auto"/>
          </w:tcPr>
          <w:p w14:paraId="7E72B235" w14:textId="25B8EAF1" w:rsidR="00CD0682" w:rsidRPr="00EB324F" w:rsidRDefault="00CD0682" w:rsidP="00CD0682">
            <w:pPr>
              <w:spacing w:before="60" w:after="60"/>
              <w:rPr>
                <w:rFonts w:cs="Arial"/>
                <w:sz w:val="22"/>
                <w:szCs w:val="22"/>
              </w:rPr>
            </w:pPr>
            <w:r>
              <w:rPr>
                <w:rFonts w:cs="Arial"/>
                <w:sz w:val="22"/>
                <w:szCs w:val="22"/>
              </w:rPr>
              <w:t>Office for Nuclear Regulation</w:t>
            </w:r>
          </w:p>
        </w:tc>
      </w:tr>
      <w:tr w:rsidR="00CD0682" w:rsidRPr="00EB324F" w14:paraId="4C0BD274" w14:textId="77777777" w:rsidTr="002403C2">
        <w:tc>
          <w:tcPr>
            <w:tcW w:w="1132" w:type="pct"/>
            <w:shd w:val="clear" w:color="auto" w:fill="auto"/>
          </w:tcPr>
          <w:p w14:paraId="4F4B5C98" w14:textId="2495BE49" w:rsidR="00CD0682" w:rsidRPr="00EB324F" w:rsidRDefault="00CD0682" w:rsidP="00CD0682">
            <w:pPr>
              <w:spacing w:before="60" w:after="60"/>
              <w:rPr>
                <w:rFonts w:cs="Arial"/>
                <w:sz w:val="22"/>
                <w:szCs w:val="22"/>
              </w:rPr>
            </w:pPr>
            <w:r>
              <w:rPr>
                <w:rFonts w:cs="Arial"/>
                <w:sz w:val="22"/>
                <w:szCs w:val="22"/>
              </w:rPr>
              <w:t>CDG</w:t>
            </w:r>
            <w:r w:rsidR="00131224">
              <w:rPr>
                <w:rFonts w:cs="Arial"/>
                <w:sz w:val="22"/>
                <w:szCs w:val="22"/>
              </w:rPr>
              <w:t>09</w:t>
            </w:r>
          </w:p>
        </w:tc>
        <w:tc>
          <w:tcPr>
            <w:tcW w:w="3868" w:type="pct"/>
            <w:shd w:val="clear" w:color="auto" w:fill="auto"/>
          </w:tcPr>
          <w:p w14:paraId="192C1AC6" w14:textId="0891692B" w:rsidR="00CD0682" w:rsidRPr="00EB324F" w:rsidRDefault="00CD0682" w:rsidP="00CD0682">
            <w:pPr>
              <w:spacing w:before="60" w:after="60"/>
              <w:rPr>
                <w:rFonts w:cs="Arial"/>
                <w:sz w:val="22"/>
                <w:szCs w:val="22"/>
              </w:rPr>
            </w:pPr>
            <w:r>
              <w:rPr>
                <w:rFonts w:cs="Arial"/>
                <w:sz w:val="22"/>
                <w:szCs w:val="22"/>
              </w:rPr>
              <w:t xml:space="preserve">Carriage of </w:t>
            </w:r>
            <w:proofErr w:type="spellStart"/>
            <w:r>
              <w:rPr>
                <w:rFonts w:cs="Arial"/>
                <w:sz w:val="22"/>
                <w:szCs w:val="22"/>
              </w:rPr>
              <w:t>Danerous</w:t>
            </w:r>
            <w:proofErr w:type="spellEnd"/>
            <w:r>
              <w:rPr>
                <w:rFonts w:cs="Arial"/>
                <w:sz w:val="22"/>
                <w:szCs w:val="22"/>
              </w:rPr>
              <w:t xml:space="preserve"> Goods and Use of Transportable Pressure Equipment Regulations 2009 (as amended)</w:t>
            </w:r>
          </w:p>
        </w:tc>
      </w:tr>
      <w:tr w:rsidR="00CD0682" w:rsidRPr="00EB324F" w14:paraId="6FBD35FF" w14:textId="77777777" w:rsidTr="002403C2">
        <w:tc>
          <w:tcPr>
            <w:tcW w:w="1132" w:type="pct"/>
            <w:shd w:val="clear" w:color="auto" w:fill="auto"/>
          </w:tcPr>
          <w:p w14:paraId="3576E9F5" w14:textId="0B33BF09" w:rsidR="00CD0682" w:rsidRDefault="00CD0682" w:rsidP="00CD0682">
            <w:pPr>
              <w:spacing w:before="60" w:after="60"/>
              <w:rPr>
                <w:rFonts w:cs="Arial"/>
                <w:sz w:val="22"/>
                <w:szCs w:val="22"/>
              </w:rPr>
            </w:pPr>
            <w:r>
              <w:rPr>
                <w:rFonts w:cs="Arial"/>
                <w:sz w:val="22"/>
                <w:szCs w:val="22"/>
              </w:rPr>
              <w:t>DU</w:t>
            </w:r>
          </w:p>
        </w:tc>
        <w:tc>
          <w:tcPr>
            <w:tcW w:w="3868" w:type="pct"/>
            <w:shd w:val="clear" w:color="auto" w:fill="auto"/>
          </w:tcPr>
          <w:p w14:paraId="2DFA207D" w14:textId="2CD632DC" w:rsidR="00CD0682" w:rsidRDefault="00CD0682" w:rsidP="00CD0682">
            <w:pPr>
              <w:spacing w:before="60" w:after="60"/>
              <w:rPr>
                <w:rFonts w:cs="Arial"/>
                <w:sz w:val="22"/>
                <w:szCs w:val="22"/>
              </w:rPr>
            </w:pPr>
            <w:r>
              <w:rPr>
                <w:rFonts w:cs="Arial"/>
                <w:sz w:val="22"/>
                <w:szCs w:val="22"/>
              </w:rPr>
              <w:t>Depleted Uranium</w:t>
            </w:r>
          </w:p>
        </w:tc>
      </w:tr>
      <w:tr w:rsidR="00CD0682" w:rsidRPr="00EB324F" w14:paraId="6C942DEA" w14:textId="77777777" w:rsidTr="002403C2">
        <w:tc>
          <w:tcPr>
            <w:tcW w:w="1132" w:type="pct"/>
            <w:shd w:val="clear" w:color="auto" w:fill="auto"/>
          </w:tcPr>
          <w:p w14:paraId="4F7D3735" w14:textId="4F3E94EC" w:rsidR="00CD0682" w:rsidRDefault="00CD0682" w:rsidP="00CD0682">
            <w:pPr>
              <w:spacing w:before="60" w:after="60"/>
              <w:rPr>
                <w:rFonts w:cs="Arial"/>
                <w:sz w:val="22"/>
                <w:szCs w:val="22"/>
              </w:rPr>
            </w:pPr>
            <w:r>
              <w:rPr>
                <w:rFonts w:cs="Arial"/>
                <w:sz w:val="22"/>
                <w:szCs w:val="22"/>
              </w:rPr>
              <w:t>HSE</w:t>
            </w:r>
          </w:p>
        </w:tc>
        <w:tc>
          <w:tcPr>
            <w:tcW w:w="3868" w:type="pct"/>
            <w:shd w:val="clear" w:color="auto" w:fill="auto"/>
          </w:tcPr>
          <w:p w14:paraId="11BBCC2A" w14:textId="4889AE75" w:rsidR="00CD0682" w:rsidRDefault="00CD0682" w:rsidP="00CD0682">
            <w:pPr>
              <w:spacing w:before="60" w:after="60"/>
              <w:rPr>
                <w:rFonts w:cs="Arial"/>
                <w:sz w:val="22"/>
                <w:szCs w:val="22"/>
              </w:rPr>
            </w:pPr>
            <w:r>
              <w:rPr>
                <w:rFonts w:cs="Arial"/>
                <w:sz w:val="22"/>
                <w:szCs w:val="22"/>
              </w:rPr>
              <w:t>Health and Safety Executive</w:t>
            </w:r>
          </w:p>
        </w:tc>
      </w:tr>
      <w:tr w:rsidR="00CD0682" w:rsidRPr="00EB324F" w14:paraId="77A33839" w14:textId="77777777" w:rsidTr="002403C2">
        <w:tc>
          <w:tcPr>
            <w:tcW w:w="1132" w:type="pct"/>
            <w:shd w:val="clear" w:color="auto" w:fill="auto"/>
          </w:tcPr>
          <w:p w14:paraId="323C11D0" w14:textId="37775AB1" w:rsidR="00CD0682" w:rsidRDefault="00CD0682" w:rsidP="00CD0682">
            <w:pPr>
              <w:spacing w:before="60" w:after="60"/>
              <w:rPr>
                <w:rFonts w:cs="Arial"/>
                <w:sz w:val="22"/>
                <w:szCs w:val="22"/>
              </w:rPr>
            </w:pPr>
            <w:r>
              <w:rPr>
                <w:rFonts w:cs="Arial"/>
                <w:sz w:val="22"/>
                <w:szCs w:val="22"/>
              </w:rPr>
              <w:t>IAEA</w:t>
            </w:r>
          </w:p>
        </w:tc>
        <w:tc>
          <w:tcPr>
            <w:tcW w:w="3868" w:type="pct"/>
            <w:shd w:val="clear" w:color="auto" w:fill="auto"/>
          </w:tcPr>
          <w:p w14:paraId="45841840" w14:textId="109C6A9F" w:rsidR="00CD0682" w:rsidRDefault="00CD0682" w:rsidP="00CD0682">
            <w:pPr>
              <w:spacing w:before="60" w:after="60"/>
              <w:rPr>
                <w:rFonts w:cs="Arial"/>
                <w:sz w:val="22"/>
                <w:szCs w:val="22"/>
              </w:rPr>
            </w:pPr>
            <w:r>
              <w:rPr>
                <w:rFonts w:cs="Arial"/>
                <w:sz w:val="22"/>
                <w:szCs w:val="22"/>
              </w:rPr>
              <w:t>International Atomic Energy Agency</w:t>
            </w:r>
          </w:p>
        </w:tc>
      </w:tr>
      <w:tr w:rsidR="00CD0682" w:rsidRPr="00EB324F" w14:paraId="34E5F58C" w14:textId="77777777" w:rsidTr="002403C2">
        <w:tc>
          <w:tcPr>
            <w:tcW w:w="1132" w:type="pct"/>
            <w:shd w:val="clear" w:color="auto" w:fill="auto"/>
          </w:tcPr>
          <w:p w14:paraId="7C9592A4" w14:textId="2935C66E" w:rsidR="00CD0682" w:rsidRPr="00EB324F" w:rsidRDefault="00CD0682" w:rsidP="00CD0682">
            <w:pPr>
              <w:spacing w:before="60" w:after="60"/>
              <w:rPr>
                <w:rFonts w:cs="Arial"/>
                <w:sz w:val="22"/>
                <w:szCs w:val="22"/>
              </w:rPr>
            </w:pPr>
            <w:r>
              <w:rPr>
                <w:rFonts w:cs="Arial"/>
                <w:sz w:val="22"/>
                <w:szCs w:val="22"/>
              </w:rPr>
              <w:t>IRR17</w:t>
            </w:r>
          </w:p>
        </w:tc>
        <w:tc>
          <w:tcPr>
            <w:tcW w:w="3868" w:type="pct"/>
            <w:shd w:val="clear" w:color="auto" w:fill="auto"/>
          </w:tcPr>
          <w:p w14:paraId="11278A01" w14:textId="784AD0F7" w:rsidR="00CD0682" w:rsidRPr="00EB324F" w:rsidRDefault="00CD0682" w:rsidP="00CD0682">
            <w:pPr>
              <w:spacing w:before="60" w:after="60"/>
              <w:rPr>
                <w:rFonts w:cs="Arial"/>
                <w:sz w:val="22"/>
                <w:szCs w:val="22"/>
              </w:rPr>
            </w:pPr>
            <w:r>
              <w:rPr>
                <w:rFonts w:cs="Arial"/>
                <w:sz w:val="22"/>
                <w:szCs w:val="22"/>
              </w:rPr>
              <w:t xml:space="preserve">Ionising </w:t>
            </w:r>
            <w:proofErr w:type="spellStart"/>
            <w:r>
              <w:rPr>
                <w:rFonts w:cs="Arial"/>
                <w:sz w:val="22"/>
                <w:szCs w:val="22"/>
              </w:rPr>
              <w:t>Radaitions</w:t>
            </w:r>
            <w:proofErr w:type="spellEnd"/>
            <w:r>
              <w:rPr>
                <w:rFonts w:cs="Arial"/>
                <w:sz w:val="22"/>
                <w:szCs w:val="22"/>
              </w:rPr>
              <w:t xml:space="preserve"> Regulations 2017</w:t>
            </w:r>
          </w:p>
        </w:tc>
      </w:tr>
      <w:tr w:rsidR="00CD0682" w:rsidRPr="00EB324F" w14:paraId="6356DC5A" w14:textId="77777777" w:rsidTr="002403C2">
        <w:tc>
          <w:tcPr>
            <w:tcW w:w="1132" w:type="pct"/>
            <w:shd w:val="clear" w:color="auto" w:fill="auto"/>
          </w:tcPr>
          <w:p w14:paraId="6222CFAB" w14:textId="72E39BA1" w:rsidR="00CD0682" w:rsidRDefault="00CD0682" w:rsidP="00CD0682">
            <w:pPr>
              <w:spacing w:before="60" w:after="60"/>
              <w:rPr>
                <w:rFonts w:cs="Arial"/>
                <w:sz w:val="22"/>
                <w:szCs w:val="22"/>
              </w:rPr>
            </w:pPr>
            <w:r>
              <w:rPr>
                <w:rFonts w:cs="Arial"/>
                <w:sz w:val="22"/>
                <w:szCs w:val="22"/>
              </w:rPr>
              <w:t>PPE</w:t>
            </w:r>
          </w:p>
        </w:tc>
        <w:tc>
          <w:tcPr>
            <w:tcW w:w="3868" w:type="pct"/>
            <w:shd w:val="clear" w:color="auto" w:fill="auto"/>
          </w:tcPr>
          <w:p w14:paraId="6C85C802" w14:textId="4897BA29" w:rsidR="00CD0682" w:rsidRDefault="00CD0682" w:rsidP="00CD0682">
            <w:pPr>
              <w:spacing w:before="60" w:after="60"/>
              <w:rPr>
                <w:rFonts w:cs="Arial"/>
                <w:sz w:val="22"/>
                <w:szCs w:val="22"/>
              </w:rPr>
            </w:pPr>
            <w:r>
              <w:rPr>
                <w:rFonts w:cs="Arial"/>
                <w:sz w:val="22"/>
                <w:szCs w:val="22"/>
              </w:rPr>
              <w:t>Personal Protective Equipment</w:t>
            </w:r>
          </w:p>
        </w:tc>
      </w:tr>
      <w:tr w:rsidR="00CD0682" w:rsidRPr="00EB324F" w14:paraId="1282D68F" w14:textId="77777777" w:rsidTr="002403C2">
        <w:tc>
          <w:tcPr>
            <w:tcW w:w="1132" w:type="pct"/>
            <w:shd w:val="clear" w:color="auto" w:fill="auto"/>
          </w:tcPr>
          <w:p w14:paraId="7014A2E4" w14:textId="5D021B22" w:rsidR="00CD0682" w:rsidRDefault="00CD0682" w:rsidP="00CD0682">
            <w:pPr>
              <w:spacing w:before="60" w:after="60"/>
              <w:rPr>
                <w:rFonts w:cs="Arial"/>
                <w:sz w:val="22"/>
                <w:szCs w:val="22"/>
              </w:rPr>
            </w:pPr>
            <w:r>
              <w:rPr>
                <w:rFonts w:cs="Arial"/>
                <w:sz w:val="22"/>
                <w:szCs w:val="22"/>
              </w:rPr>
              <w:t>RID</w:t>
            </w:r>
          </w:p>
        </w:tc>
        <w:tc>
          <w:tcPr>
            <w:tcW w:w="3868" w:type="pct"/>
            <w:shd w:val="clear" w:color="auto" w:fill="auto"/>
          </w:tcPr>
          <w:p w14:paraId="62B9F1EC" w14:textId="6929AFCF" w:rsidR="00CD0682" w:rsidRDefault="00CD0682" w:rsidP="00CD0682">
            <w:pPr>
              <w:spacing w:before="60" w:after="60"/>
              <w:rPr>
                <w:rFonts w:cs="Arial"/>
                <w:sz w:val="22"/>
                <w:szCs w:val="22"/>
              </w:rPr>
            </w:pPr>
            <w:r>
              <w:rPr>
                <w:rFonts w:cs="Arial"/>
                <w:sz w:val="22"/>
                <w:szCs w:val="22"/>
              </w:rPr>
              <w:t>T</w:t>
            </w:r>
            <w:r w:rsidRPr="00CD0682">
              <w:rPr>
                <w:rFonts w:cs="Arial"/>
                <w:sz w:val="22"/>
                <w:szCs w:val="22"/>
              </w:rPr>
              <w:t>he Regulation concerning the International Carriage of Dangerous Goods by Rail</w:t>
            </w:r>
          </w:p>
        </w:tc>
      </w:tr>
      <w:tr w:rsidR="00CD0682" w:rsidRPr="00EB324F" w14:paraId="798209E8" w14:textId="77777777" w:rsidTr="002403C2">
        <w:tc>
          <w:tcPr>
            <w:tcW w:w="1132" w:type="pct"/>
            <w:shd w:val="clear" w:color="auto" w:fill="auto"/>
          </w:tcPr>
          <w:p w14:paraId="66CA77FC" w14:textId="0F0A350B" w:rsidR="00CD0682" w:rsidRPr="00EB324F" w:rsidRDefault="00CD0682" w:rsidP="00CD0682">
            <w:pPr>
              <w:spacing w:before="60" w:after="60"/>
              <w:rPr>
                <w:rFonts w:cs="Arial"/>
                <w:sz w:val="22"/>
                <w:szCs w:val="22"/>
              </w:rPr>
            </w:pPr>
            <w:r>
              <w:rPr>
                <w:rFonts w:cs="Arial"/>
                <w:sz w:val="22"/>
                <w:szCs w:val="22"/>
              </w:rPr>
              <w:t>RPA</w:t>
            </w:r>
          </w:p>
        </w:tc>
        <w:tc>
          <w:tcPr>
            <w:tcW w:w="3868" w:type="pct"/>
            <w:shd w:val="clear" w:color="auto" w:fill="auto"/>
          </w:tcPr>
          <w:p w14:paraId="0069E4FA" w14:textId="693F8432" w:rsidR="00CD0682" w:rsidRPr="00EB324F" w:rsidRDefault="00CD0682" w:rsidP="00CD0682">
            <w:pPr>
              <w:spacing w:before="60" w:after="60"/>
              <w:rPr>
                <w:rFonts w:cs="Arial"/>
                <w:sz w:val="22"/>
                <w:szCs w:val="22"/>
              </w:rPr>
            </w:pPr>
            <w:r>
              <w:rPr>
                <w:rFonts w:cs="Arial"/>
                <w:sz w:val="22"/>
                <w:szCs w:val="22"/>
              </w:rPr>
              <w:t>Radiation Protection Adviser</w:t>
            </w:r>
          </w:p>
        </w:tc>
      </w:tr>
      <w:tr w:rsidR="00CD0682" w:rsidRPr="00EB324F" w14:paraId="6E65E98D" w14:textId="77777777" w:rsidTr="002403C2">
        <w:tc>
          <w:tcPr>
            <w:tcW w:w="1132" w:type="pct"/>
            <w:shd w:val="clear" w:color="auto" w:fill="auto"/>
          </w:tcPr>
          <w:p w14:paraId="0CC3073E" w14:textId="15A19AA0" w:rsidR="00CD0682" w:rsidRPr="00EB324F" w:rsidRDefault="00CD0682" w:rsidP="00CD0682">
            <w:pPr>
              <w:spacing w:before="60" w:after="60"/>
              <w:rPr>
                <w:rFonts w:cs="Arial"/>
                <w:sz w:val="22"/>
                <w:szCs w:val="22"/>
              </w:rPr>
            </w:pPr>
            <w:r>
              <w:rPr>
                <w:rFonts w:cs="Arial"/>
                <w:sz w:val="22"/>
                <w:szCs w:val="22"/>
              </w:rPr>
              <w:t>RRA</w:t>
            </w:r>
          </w:p>
        </w:tc>
        <w:tc>
          <w:tcPr>
            <w:tcW w:w="3868" w:type="pct"/>
            <w:shd w:val="clear" w:color="auto" w:fill="auto"/>
          </w:tcPr>
          <w:p w14:paraId="30F97E10" w14:textId="44BF64BB" w:rsidR="00CD0682" w:rsidRPr="00EB324F" w:rsidRDefault="00CD0682" w:rsidP="00CD0682">
            <w:pPr>
              <w:spacing w:before="60" w:after="60"/>
              <w:rPr>
                <w:rFonts w:cs="Arial"/>
                <w:sz w:val="22"/>
                <w:szCs w:val="22"/>
              </w:rPr>
            </w:pPr>
            <w:r>
              <w:rPr>
                <w:rFonts w:cs="Arial"/>
                <w:sz w:val="22"/>
                <w:szCs w:val="22"/>
              </w:rPr>
              <w:t>Radiation Risk Assessment</w:t>
            </w:r>
          </w:p>
        </w:tc>
      </w:tr>
    </w:tbl>
    <w:p w14:paraId="7509C3A3" w14:textId="77777777" w:rsidR="006407CF" w:rsidRPr="002050C1" w:rsidRDefault="006407CF" w:rsidP="00BA0058">
      <w:pPr>
        <w:pStyle w:val="Heading1"/>
        <w:sectPr w:rsidR="006407CF" w:rsidRPr="002050C1" w:rsidSect="00BA0058">
          <w:pgSz w:w="11906" w:h="16838"/>
          <w:pgMar w:top="1440" w:right="1440" w:bottom="1440" w:left="1440" w:header="708" w:footer="708" w:gutter="0"/>
          <w:cols w:space="708"/>
          <w:docGrid w:linePitch="360"/>
        </w:sectPr>
      </w:pPr>
    </w:p>
    <w:p w14:paraId="12A344DF" w14:textId="0B21A6C8" w:rsidR="0063145C" w:rsidRPr="002050C1" w:rsidRDefault="005739E1" w:rsidP="00BA0058">
      <w:pPr>
        <w:pStyle w:val="Heading1"/>
      </w:pPr>
      <w:bookmarkStart w:id="1" w:name="_Toc95398343"/>
      <w:r>
        <w:t>Guidance</w:t>
      </w:r>
      <w:bookmarkEnd w:id="1"/>
    </w:p>
    <w:p w14:paraId="767E5ED7" w14:textId="77777777" w:rsidR="00EB324F" w:rsidRPr="00EB324F" w:rsidRDefault="00EB324F" w:rsidP="00EB324F">
      <w:pPr>
        <w:pStyle w:val="ListParagraph"/>
        <w:numPr>
          <w:ilvl w:val="0"/>
          <w:numId w:val="21"/>
        </w:numPr>
        <w:spacing w:line="240" w:lineRule="auto"/>
        <w:contextualSpacing w:val="0"/>
        <w:rPr>
          <w:rFonts w:cs="Arial"/>
          <w:vanish/>
        </w:rPr>
      </w:pPr>
    </w:p>
    <w:p w14:paraId="1FD56A9B" w14:textId="31CE6DF6" w:rsidR="0078447C" w:rsidRDefault="003F650D" w:rsidP="00BA0058">
      <w:pPr>
        <w:pStyle w:val="Heading2"/>
      </w:pPr>
      <w:r w:rsidRPr="003F650D">
        <w:t>Who needs a RRA and when?</w:t>
      </w:r>
    </w:p>
    <w:p w14:paraId="575D4318" w14:textId="596E4D1C" w:rsidR="003F650D" w:rsidRPr="005D156B" w:rsidRDefault="003F650D" w:rsidP="00BA0058">
      <w:pPr>
        <w:pStyle w:val="NumberedParagraph"/>
      </w:pPr>
      <w:r>
        <w:t xml:space="preserve">There can be many </w:t>
      </w:r>
      <w:r w:rsidR="004E57D1">
        <w:t xml:space="preserve">duty holders </w:t>
      </w:r>
      <w:r>
        <w:t>involved in a transport chain and their level of involvement can vary. Some coordinate logistics from afar, and others are much more directly involved. Any employer with any direct involvement with the physical transport of radioactive material, including in-transit storage, as consignor, carrier, packer, loader, filler</w:t>
      </w:r>
      <w:r w:rsidR="00026812">
        <w:t>,</w:t>
      </w:r>
      <w:r w:rsidR="005A4811">
        <w:t xml:space="preserve"> </w:t>
      </w:r>
      <w:proofErr w:type="gramStart"/>
      <w:r w:rsidR="005A4811">
        <w:t>unloader</w:t>
      </w:r>
      <w:proofErr w:type="gramEnd"/>
      <w:r>
        <w:t xml:space="preserve"> or consignee must have developed proportionate RRA(s) reflecting their involvement in this work with </w:t>
      </w:r>
      <w:r w:rsidRPr="005D156B">
        <w:t>ionising radiation before it commences.</w:t>
      </w:r>
    </w:p>
    <w:p w14:paraId="17B05CC0" w14:textId="085BAD37" w:rsidR="0004565B" w:rsidRPr="005D156B" w:rsidRDefault="0004565B" w:rsidP="00BA0058">
      <w:pPr>
        <w:pStyle w:val="NumberedParagraph"/>
      </w:pPr>
      <w:r w:rsidRPr="005D156B">
        <w:t xml:space="preserve">Where transport involves multiple </w:t>
      </w:r>
      <w:proofErr w:type="spellStart"/>
      <w:r w:rsidRPr="005D156B">
        <w:t>dutyholders</w:t>
      </w:r>
      <w:proofErr w:type="spellEnd"/>
      <w:r w:rsidRPr="005D156B">
        <w:t xml:space="preserve">, for example a consignor with one or more carriers, IRR17 </w:t>
      </w:r>
      <w:r w:rsidR="00303284" w:rsidRPr="005D156B">
        <w:t>R</w:t>
      </w:r>
      <w:r w:rsidRPr="005D156B">
        <w:t xml:space="preserve">egulation 16 specifically requires </w:t>
      </w:r>
      <w:proofErr w:type="spellStart"/>
      <w:r w:rsidRPr="005D156B">
        <w:t>dutyholders</w:t>
      </w:r>
      <w:proofErr w:type="spellEnd"/>
      <w:r w:rsidRPr="005D156B">
        <w:t xml:space="preserve"> to co-operate by the exchange of information. </w:t>
      </w:r>
      <w:proofErr w:type="spellStart"/>
      <w:r w:rsidRPr="005D156B">
        <w:t>Dutyholders</w:t>
      </w:r>
      <w:proofErr w:type="spellEnd"/>
      <w:r w:rsidRPr="005D156B">
        <w:t xml:space="preserve"> should pro</w:t>
      </w:r>
      <w:r w:rsidR="00DB04EA" w:rsidRPr="005D156B">
        <w:noBreakHyphen/>
      </w:r>
      <w:r w:rsidRPr="005D156B">
        <w:t xml:space="preserve">actively share relevant aspects, potentially all, of their RRAs with other </w:t>
      </w:r>
      <w:proofErr w:type="spellStart"/>
      <w:r w:rsidRPr="005D156B">
        <w:t>dutyholders</w:t>
      </w:r>
      <w:proofErr w:type="spellEnd"/>
      <w:r w:rsidRPr="005D156B">
        <w:t xml:space="preserve">. </w:t>
      </w:r>
    </w:p>
    <w:p w14:paraId="75326F77" w14:textId="07358976" w:rsidR="00EB324F" w:rsidRDefault="003F650D" w:rsidP="00BA0058">
      <w:pPr>
        <w:pStyle w:val="Heading2"/>
      </w:pPr>
      <w:r>
        <w:t>What constitutes a ‘suitable and sufficient’ RRA?</w:t>
      </w:r>
    </w:p>
    <w:p w14:paraId="286CD189" w14:textId="36A20738" w:rsidR="003F650D" w:rsidRDefault="003F650D" w:rsidP="00BA0058">
      <w:pPr>
        <w:pStyle w:val="NumberedParagraph"/>
      </w:pPr>
      <w:r>
        <w:t xml:space="preserve">The </w:t>
      </w:r>
      <w:r w:rsidR="005A4811">
        <w:t xml:space="preserve">IRR17 </w:t>
      </w:r>
      <w:proofErr w:type="spellStart"/>
      <w:r>
        <w:t>ACoP</w:t>
      </w:r>
      <w:proofErr w:type="spellEnd"/>
      <w:r>
        <w:t xml:space="preserve"> provides detailed information in paragraph 70 (a) to (m) in relation to matters to be considered, where relevant, by the employer where a RRA is required. The RRA will help the employer to decide on a range of appropriate next steps, outlined in paragraph 71 (a) to (p). </w:t>
      </w:r>
    </w:p>
    <w:p w14:paraId="77121C81" w14:textId="5BB6B82A" w:rsidR="003F650D" w:rsidRPr="005D156B" w:rsidRDefault="003F650D" w:rsidP="00BA0058">
      <w:pPr>
        <w:pStyle w:val="NumberedParagraph"/>
      </w:pPr>
      <w:r>
        <w:t xml:space="preserve">To be “suitable and sufficient”, ONR expects all </w:t>
      </w:r>
      <w:proofErr w:type="spellStart"/>
      <w:r>
        <w:t>ACoP</w:t>
      </w:r>
      <w:proofErr w:type="spellEnd"/>
      <w:r>
        <w:t xml:space="preserve"> paragraph 70 matters to have been considered, where they are relevant, and the employer to have made suitably informed decisions in relation to </w:t>
      </w:r>
      <w:proofErr w:type="spellStart"/>
      <w:r>
        <w:t>ACoP</w:t>
      </w:r>
      <w:proofErr w:type="spellEnd"/>
      <w:r>
        <w:t xml:space="preserve"> paragraph 71 matters, </w:t>
      </w:r>
      <w:r w:rsidRPr="005D156B">
        <w:t xml:space="preserve">where appropriate. </w:t>
      </w:r>
    </w:p>
    <w:p w14:paraId="69FE7222" w14:textId="26CE6648" w:rsidR="00494EE2" w:rsidRPr="005D156B" w:rsidRDefault="00494EE2" w:rsidP="00BA0058">
      <w:pPr>
        <w:pStyle w:val="NumberedParagraph"/>
      </w:pPr>
      <w:r w:rsidRPr="005D156B">
        <w:t xml:space="preserve">Where a facility carries out packing and loading as the end function of a main activity (for example radiopharmaceutical production or </w:t>
      </w:r>
      <w:r w:rsidR="0067475F" w:rsidRPr="005D156B">
        <w:t xml:space="preserve">sealed source </w:t>
      </w:r>
      <w:r w:rsidRPr="005D156B">
        <w:t xml:space="preserve">radiography) then there may be aspects of </w:t>
      </w:r>
      <w:r w:rsidR="009B0257" w:rsidRPr="005D156B">
        <w:t xml:space="preserve">the </w:t>
      </w:r>
      <w:r w:rsidRPr="005D156B">
        <w:t xml:space="preserve">activity that </w:t>
      </w:r>
      <w:r w:rsidR="00107D5C" w:rsidRPr="005D156B">
        <w:t>are covered by</w:t>
      </w:r>
      <w:r w:rsidRPr="005D156B">
        <w:t xml:space="preserve"> a facility RRA as well as </w:t>
      </w:r>
      <w:r w:rsidR="001B412F" w:rsidRPr="005D156B">
        <w:t>a</w:t>
      </w:r>
      <w:r w:rsidRPr="005D156B">
        <w:t xml:space="preserve"> transport RRA. </w:t>
      </w:r>
      <w:r w:rsidR="007D1943" w:rsidRPr="005D156B">
        <w:t>In cases w</w:t>
      </w:r>
      <w:r w:rsidR="004D1958" w:rsidRPr="005D156B">
        <w:t>here a separate transport RRA is produced it can reference out to the facility RRA where appropriate, but the facility RRA should clearly identify which aspects of work are considered transport activities.</w:t>
      </w:r>
      <w:r w:rsidR="007D1943" w:rsidRPr="005D156B">
        <w:t xml:space="preserve"> </w:t>
      </w:r>
      <w:r w:rsidR="007953D3" w:rsidRPr="005D156B">
        <w:t xml:space="preserve">Where one </w:t>
      </w:r>
      <w:r w:rsidR="002E0DCE" w:rsidRPr="005D156B">
        <w:t xml:space="preserve">RRA </w:t>
      </w:r>
      <w:r w:rsidR="007D1943" w:rsidRPr="005D156B">
        <w:t xml:space="preserve">is produced to </w:t>
      </w:r>
      <w:r w:rsidR="002E0DCE" w:rsidRPr="005D156B">
        <w:t xml:space="preserve">cover both </w:t>
      </w:r>
      <w:proofErr w:type="spellStart"/>
      <w:r w:rsidR="002E0DCE" w:rsidRPr="005D156B">
        <w:t>facilty</w:t>
      </w:r>
      <w:proofErr w:type="spellEnd"/>
      <w:r w:rsidR="002E0DCE" w:rsidRPr="005D156B">
        <w:t xml:space="preserve"> and transport activities it should </w:t>
      </w:r>
      <w:r w:rsidR="00E13913" w:rsidRPr="005D156B">
        <w:t xml:space="preserve">clearly identify which aspects of the work are considered transport activities. </w:t>
      </w:r>
    </w:p>
    <w:p w14:paraId="2BE71E94" w14:textId="7199E7EC" w:rsidR="003F650D" w:rsidRDefault="00BA0058" w:rsidP="00BA0058">
      <w:pPr>
        <w:pStyle w:val="NumberedParagraph"/>
      </w:pPr>
      <w:r>
        <w:fldChar w:fldCharType="begin"/>
      </w:r>
      <w:r>
        <w:instrText xml:space="preserve"> REF _Ref95390942 \h </w:instrText>
      </w:r>
      <w:r>
        <w:fldChar w:fldCharType="separate"/>
      </w:r>
      <w:r>
        <w:t xml:space="preserve">Table </w:t>
      </w:r>
      <w:r>
        <w:rPr>
          <w:noProof/>
        </w:rPr>
        <w:t>2</w:t>
      </w:r>
      <w:r>
        <w:fldChar w:fldCharType="end"/>
      </w:r>
      <w:r>
        <w:t xml:space="preserve"> </w:t>
      </w:r>
      <w:r w:rsidR="003F650D">
        <w:t xml:space="preserve">lists the </w:t>
      </w:r>
      <w:proofErr w:type="spellStart"/>
      <w:r w:rsidR="003F650D">
        <w:t>ACoP</w:t>
      </w:r>
      <w:proofErr w:type="spellEnd"/>
      <w:r w:rsidR="003F650D">
        <w:t xml:space="preserve"> paragraph 70 requirements and describes ONR’s expectations in relation to the transport of radioactive material.</w:t>
      </w:r>
    </w:p>
    <w:p w14:paraId="49780FC6" w14:textId="77777777" w:rsidR="006164C0" w:rsidRDefault="006164C0" w:rsidP="00BA0058">
      <w:pPr>
        <w:pStyle w:val="NumberedParagraph"/>
        <w:numPr>
          <w:ilvl w:val="0"/>
          <w:numId w:val="0"/>
        </w:numPr>
        <w:ind w:left="792"/>
      </w:pPr>
    </w:p>
    <w:p w14:paraId="088D8455" w14:textId="18DDD271" w:rsidR="0079753F" w:rsidRPr="0079753F" w:rsidRDefault="0079753F" w:rsidP="0079753F">
      <w:pPr>
        <w:pStyle w:val="Caption"/>
      </w:pPr>
      <w:bookmarkStart w:id="2" w:name="_Ref95390942"/>
      <w:r>
        <w:t xml:space="preserve">Table </w:t>
      </w:r>
      <w:r w:rsidR="0053619C">
        <w:fldChar w:fldCharType="begin"/>
      </w:r>
      <w:r w:rsidR="0053619C">
        <w:instrText xml:space="preserve"> SEQ Table \* ARABIC </w:instrText>
      </w:r>
      <w:r w:rsidR="0053619C">
        <w:fldChar w:fldCharType="separate"/>
      </w:r>
      <w:r>
        <w:rPr>
          <w:noProof/>
        </w:rPr>
        <w:t>2</w:t>
      </w:r>
      <w:r w:rsidR="0053619C">
        <w:rPr>
          <w:noProof/>
        </w:rPr>
        <w:fldChar w:fldCharType="end"/>
      </w:r>
      <w:bookmarkEnd w:id="2"/>
      <w:r>
        <w:rPr>
          <w:rFonts w:cs="Arial"/>
          <w:noProof/>
          <w:sz w:val="22"/>
          <w:szCs w:val="22"/>
        </w:rPr>
        <w:t>:</w:t>
      </w:r>
      <w:r w:rsidRPr="005739E1">
        <w:rPr>
          <w:rFonts w:cs="Arial"/>
          <w:sz w:val="22"/>
          <w:szCs w:val="22"/>
        </w:rPr>
        <w:t xml:space="preserve"> </w:t>
      </w:r>
      <w:r w:rsidRPr="0079753F">
        <w:rPr>
          <w:rFonts w:cs="Arial"/>
          <w:sz w:val="22"/>
          <w:szCs w:val="22"/>
        </w:rPr>
        <w:t xml:space="preserve">IRR17 </w:t>
      </w:r>
      <w:proofErr w:type="spellStart"/>
      <w:r w:rsidRPr="0079753F">
        <w:rPr>
          <w:rFonts w:cs="Arial"/>
          <w:sz w:val="22"/>
          <w:szCs w:val="22"/>
        </w:rPr>
        <w:t>ACoP</w:t>
      </w:r>
      <w:proofErr w:type="spellEnd"/>
      <w:r w:rsidRPr="0079753F">
        <w:rPr>
          <w:rFonts w:cs="Arial"/>
          <w:sz w:val="22"/>
          <w:szCs w:val="22"/>
        </w:rPr>
        <w:t xml:space="preserve"> paragraph 70 requirements in relation to the transport of radioactive material</w:t>
      </w:r>
    </w:p>
    <w:tbl>
      <w:tblPr>
        <w:tblW w:w="5000" w:type="pct"/>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Layout w:type="fixed"/>
        <w:tblLook w:val="04A0" w:firstRow="1" w:lastRow="0" w:firstColumn="1" w:lastColumn="0" w:noHBand="0" w:noVBand="1"/>
      </w:tblPr>
      <w:tblGrid>
        <w:gridCol w:w="846"/>
        <w:gridCol w:w="2268"/>
        <w:gridCol w:w="5902"/>
      </w:tblGrid>
      <w:tr w:rsidR="003F650D" w:rsidRPr="00BA0058" w14:paraId="215303E4" w14:textId="41CBB3B5" w:rsidTr="00BA0058">
        <w:trPr>
          <w:tblHeader/>
        </w:trPr>
        <w:tc>
          <w:tcPr>
            <w:tcW w:w="469" w:type="pct"/>
            <w:shd w:val="clear" w:color="auto" w:fill="006D68"/>
          </w:tcPr>
          <w:p w14:paraId="7057E419" w14:textId="64454345" w:rsidR="003F650D" w:rsidRPr="00BA0058" w:rsidRDefault="004B68AC" w:rsidP="00063CA8">
            <w:pPr>
              <w:spacing w:before="60" w:after="60"/>
              <w:rPr>
                <w:rFonts w:cs="Arial"/>
                <w:bCs/>
                <w:color w:val="FFFFFF" w:themeColor="background1"/>
              </w:rPr>
            </w:pPr>
            <w:r w:rsidRPr="00BA0058">
              <w:rPr>
                <w:rFonts w:cs="Arial"/>
                <w:bCs/>
                <w:color w:val="FFFFFF" w:themeColor="background1"/>
              </w:rPr>
              <w:t>Para 70</w:t>
            </w:r>
          </w:p>
        </w:tc>
        <w:tc>
          <w:tcPr>
            <w:tcW w:w="1258" w:type="pct"/>
            <w:shd w:val="clear" w:color="auto" w:fill="006D68"/>
          </w:tcPr>
          <w:p w14:paraId="76D6965A" w14:textId="676DCB01" w:rsidR="003F650D" w:rsidRPr="00BA0058" w:rsidRDefault="004B68AC" w:rsidP="00063CA8">
            <w:pPr>
              <w:spacing w:before="60" w:after="60"/>
              <w:rPr>
                <w:rFonts w:cs="Arial"/>
                <w:bCs/>
                <w:color w:val="FFFFFF" w:themeColor="background1"/>
              </w:rPr>
            </w:pPr>
            <w:r w:rsidRPr="00BA0058">
              <w:rPr>
                <w:rFonts w:cs="Arial"/>
                <w:bCs/>
                <w:color w:val="FFFFFF" w:themeColor="background1"/>
              </w:rPr>
              <w:t>ACOP Requir</w:t>
            </w:r>
            <w:r w:rsidR="005464EB" w:rsidRPr="00BA0058">
              <w:rPr>
                <w:rFonts w:cs="Arial"/>
                <w:bCs/>
                <w:color w:val="FFFFFF" w:themeColor="background1"/>
              </w:rPr>
              <w:t>e</w:t>
            </w:r>
            <w:r w:rsidRPr="00BA0058">
              <w:rPr>
                <w:rFonts w:cs="Arial"/>
                <w:bCs/>
                <w:color w:val="FFFFFF" w:themeColor="background1"/>
              </w:rPr>
              <w:t>ments</w:t>
            </w:r>
          </w:p>
        </w:tc>
        <w:tc>
          <w:tcPr>
            <w:tcW w:w="3273" w:type="pct"/>
            <w:shd w:val="clear" w:color="auto" w:fill="006D68"/>
          </w:tcPr>
          <w:p w14:paraId="3EBA0F81" w14:textId="6F830A55" w:rsidR="003F650D" w:rsidRPr="00BA0058" w:rsidRDefault="004B68AC" w:rsidP="00063CA8">
            <w:pPr>
              <w:spacing w:before="60" w:after="60"/>
              <w:rPr>
                <w:rFonts w:cs="Arial"/>
                <w:bCs/>
                <w:color w:val="FFFFFF" w:themeColor="background1"/>
              </w:rPr>
            </w:pPr>
            <w:r w:rsidRPr="00BA0058">
              <w:rPr>
                <w:rFonts w:cs="Arial"/>
                <w:bCs/>
                <w:color w:val="FFFFFF" w:themeColor="background1"/>
              </w:rPr>
              <w:t>ONR’s Regulatory Expectations</w:t>
            </w:r>
          </w:p>
        </w:tc>
      </w:tr>
      <w:tr w:rsidR="003F650D" w:rsidRPr="00EB324F" w14:paraId="5E6DD450" w14:textId="02F19F29" w:rsidTr="00BA0058">
        <w:tc>
          <w:tcPr>
            <w:tcW w:w="469" w:type="pct"/>
            <w:shd w:val="clear" w:color="auto" w:fill="auto"/>
          </w:tcPr>
          <w:p w14:paraId="08C90BC9" w14:textId="200D8598" w:rsidR="003F650D" w:rsidRPr="00BA0058" w:rsidRDefault="004B68AC" w:rsidP="00063CA8">
            <w:pPr>
              <w:spacing w:before="60" w:after="60"/>
              <w:rPr>
                <w:rFonts w:cs="Arial"/>
                <w:sz w:val="22"/>
                <w:szCs w:val="22"/>
              </w:rPr>
            </w:pPr>
            <w:r w:rsidRPr="00BA0058">
              <w:rPr>
                <w:rFonts w:cs="Arial"/>
                <w:sz w:val="22"/>
                <w:szCs w:val="22"/>
              </w:rPr>
              <w:t>(a)</w:t>
            </w:r>
          </w:p>
        </w:tc>
        <w:tc>
          <w:tcPr>
            <w:tcW w:w="1258" w:type="pct"/>
            <w:shd w:val="clear" w:color="auto" w:fill="auto"/>
          </w:tcPr>
          <w:p w14:paraId="23D5DC36" w14:textId="3C2F5929" w:rsidR="003F650D" w:rsidRPr="00BA0058" w:rsidRDefault="004B68AC" w:rsidP="004B68AC">
            <w:pPr>
              <w:spacing w:before="60" w:after="60"/>
              <w:rPr>
                <w:rFonts w:cs="Arial"/>
                <w:sz w:val="22"/>
                <w:szCs w:val="22"/>
              </w:rPr>
            </w:pPr>
            <w:r w:rsidRPr="00BA0058">
              <w:rPr>
                <w:rFonts w:cs="Arial"/>
                <w:sz w:val="22"/>
                <w:szCs w:val="22"/>
              </w:rPr>
              <w:t>The nature of sources of ionising radiation to be used, or likely to be present, including accumulation of radon in the working environment.</w:t>
            </w:r>
          </w:p>
        </w:tc>
        <w:tc>
          <w:tcPr>
            <w:tcW w:w="3273" w:type="pct"/>
          </w:tcPr>
          <w:p w14:paraId="5A882B76" w14:textId="312468EE" w:rsidR="004264B1" w:rsidRPr="00BA0058" w:rsidRDefault="00C22C71" w:rsidP="00F23B2A">
            <w:pPr>
              <w:spacing w:before="60" w:after="60"/>
              <w:rPr>
                <w:rFonts w:cs="Arial"/>
                <w:sz w:val="22"/>
                <w:szCs w:val="22"/>
              </w:rPr>
            </w:pPr>
            <w:r w:rsidRPr="00BA0058">
              <w:rPr>
                <w:rFonts w:cs="Arial"/>
                <w:sz w:val="22"/>
                <w:szCs w:val="22"/>
              </w:rPr>
              <w:t>Include a l</w:t>
            </w:r>
            <w:r w:rsidR="004B68AC" w:rsidRPr="00BA0058">
              <w:rPr>
                <w:rFonts w:cs="Arial"/>
                <w:sz w:val="22"/>
                <w:szCs w:val="22"/>
              </w:rPr>
              <w:t>ist of radionuclides</w:t>
            </w:r>
            <w:r w:rsidR="00951121" w:rsidRPr="00BA0058">
              <w:rPr>
                <w:rFonts w:cs="Arial"/>
                <w:sz w:val="22"/>
                <w:szCs w:val="22"/>
              </w:rPr>
              <w:t xml:space="preserve"> in a package, in a consignment or on a conveyance</w:t>
            </w:r>
            <w:r w:rsidR="004B68AC" w:rsidRPr="00BA0058">
              <w:rPr>
                <w:rFonts w:cs="Arial"/>
                <w:sz w:val="22"/>
                <w:szCs w:val="22"/>
              </w:rPr>
              <w:t>, a description of their physical form (liquid/solid/gas/</w:t>
            </w:r>
            <w:r w:rsidR="004B68AC" w:rsidRPr="00BA0058">
              <w:rPr>
                <w:rFonts w:cs="Arial"/>
                <w:i/>
                <w:iCs/>
                <w:sz w:val="22"/>
                <w:szCs w:val="22"/>
              </w:rPr>
              <w:t>special form</w:t>
            </w:r>
            <w:r w:rsidR="00F80153" w:rsidRPr="00BA0058">
              <w:rPr>
                <w:rStyle w:val="FootnoteReference"/>
                <w:rFonts w:cs="Arial"/>
                <w:i/>
                <w:iCs/>
                <w:sz w:val="22"/>
                <w:szCs w:val="22"/>
              </w:rPr>
              <w:footnoteReference w:id="1"/>
            </w:r>
            <w:r w:rsidR="004B68AC" w:rsidRPr="00BA0058">
              <w:rPr>
                <w:rFonts w:cs="Arial"/>
                <w:sz w:val="22"/>
                <w:szCs w:val="22"/>
              </w:rPr>
              <w:t>), typical and maximum activity of source(s)</w:t>
            </w:r>
            <w:r w:rsidR="00C67D1E" w:rsidRPr="00BA0058">
              <w:rPr>
                <w:rFonts w:cs="Arial"/>
                <w:sz w:val="22"/>
                <w:szCs w:val="22"/>
              </w:rPr>
              <w:t xml:space="preserve"> and</w:t>
            </w:r>
            <w:r w:rsidR="004B68AC" w:rsidRPr="00BA0058">
              <w:rPr>
                <w:rFonts w:cs="Arial"/>
                <w:sz w:val="22"/>
                <w:szCs w:val="22"/>
              </w:rPr>
              <w:t xml:space="preserve"> type</w:t>
            </w:r>
            <w:r w:rsidR="00DB04EA" w:rsidRPr="00BA0058">
              <w:rPr>
                <w:rFonts w:cs="Arial"/>
                <w:sz w:val="22"/>
                <w:szCs w:val="22"/>
              </w:rPr>
              <w:t>(s)</w:t>
            </w:r>
            <w:r w:rsidR="004B68AC" w:rsidRPr="00BA0058">
              <w:rPr>
                <w:rFonts w:cs="Arial"/>
                <w:sz w:val="22"/>
                <w:szCs w:val="22"/>
              </w:rPr>
              <w:t xml:space="preserve"> of </w:t>
            </w:r>
            <w:r w:rsidR="00DB04EA" w:rsidRPr="00BA0058">
              <w:rPr>
                <w:rFonts w:cs="Arial"/>
                <w:sz w:val="22"/>
                <w:szCs w:val="22"/>
              </w:rPr>
              <w:t xml:space="preserve">radiation </w:t>
            </w:r>
            <w:r w:rsidR="004B68AC" w:rsidRPr="00BA0058">
              <w:rPr>
                <w:rFonts w:cs="Arial"/>
                <w:sz w:val="22"/>
                <w:szCs w:val="22"/>
              </w:rPr>
              <w:t>emitte</w:t>
            </w:r>
            <w:r w:rsidR="00DB04EA" w:rsidRPr="00BA0058">
              <w:rPr>
                <w:rFonts w:cs="Arial"/>
                <w:sz w:val="22"/>
                <w:szCs w:val="22"/>
              </w:rPr>
              <w:t>d</w:t>
            </w:r>
            <w:r w:rsidR="004B68AC" w:rsidRPr="00BA0058">
              <w:rPr>
                <w:rFonts w:cs="Arial"/>
                <w:sz w:val="22"/>
                <w:szCs w:val="22"/>
              </w:rPr>
              <w:t xml:space="preserve"> (alpha/beta/gamma/neutron etc.)</w:t>
            </w:r>
          </w:p>
          <w:p w14:paraId="6B4DA119" w14:textId="1283D71A" w:rsidR="008C2AB5" w:rsidRPr="00BA0058" w:rsidRDefault="008C2AB5" w:rsidP="00F23B2A">
            <w:pPr>
              <w:spacing w:before="60" w:after="60"/>
              <w:rPr>
                <w:rFonts w:cs="Arial"/>
                <w:sz w:val="22"/>
                <w:szCs w:val="22"/>
              </w:rPr>
            </w:pPr>
            <w:r w:rsidRPr="00BA0058">
              <w:rPr>
                <w:rFonts w:cs="Arial"/>
                <w:sz w:val="22"/>
                <w:szCs w:val="22"/>
              </w:rPr>
              <w:t>Some employers such as busy Class 7 (radioactive material) dangerous goods carriers may choose to have</w:t>
            </w:r>
            <w:r w:rsidR="00FF1421" w:rsidRPr="00BA0058">
              <w:rPr>
                <w:rFonts w:cs="Arial"/>
                <w:sz w:val="22"/>
                <w:szCs w:val="22"/>
              </w:rPr>
              <w:t xml:space="preserve"> a bounding case or cases</w:t>
            </w:r>
            <w:r w:rsidR="00870178" w:rsidRPr="00BA0058">
              <w:rPr>
                <w:rFonts w:cs="Arial"/>
                <w:sz w:val="22"/>
                <w:szCs w:val="22"/>
              </w:rPr>
              <w:t xml:space="preserve"> (the most pessimistic package/consignment that could be transported)</w:t>
            </w:r>
            <w:r w:rsidR="00FF1421" w:rsidRPr="00BA0058">
              <w:rPr>
                <w:rFonts w:cs="Arial"/>
                <w:sz w:val="22"/>
                <w:szCs w:val="22"/>
              </w:rPr>
              <w:t xml:space="preserve">, rather than describing each individual source, which include typical maximum activities of the bounding case </w:t>
            </w:r>
            <w:proofErr w:type="gramStart"/>
            <w:r w:rsidR="00DB04EA" w:rsidRPr="00BA0058">
              <w:rPr>
                <w:rFonts w:cs="Arial"/>
                <w:sz w:val="22"/>
                <w:szCs w:val="22"/>
              </w:rPr>
              <w:t>radio-</w:t>
            </w:r>
            <w:r w:rsidR="00FF1421" w:rsidRPr="00BA0058">
              <w:rPr>
                <w:rFonts w:cs="Arial"/>
                <w:sz w:val="22"/>
                <w:szCs w:val="22"/>
              </w:rPr>
              <w:t>isotope</w:t>
            </w:r>
            <w:proofErr w:type="gramEnd"/>
            <w:r w:rsidR="0059480B" w:rsidRPr="00BA0058">
              <w:rPr>
                <w:rFonts w:cs="Arial"/>
                <w:sz w:val="22"/>
                <w:szCs w:val="22"/>
              </w:rPr>
              <w:t>(</w:t>
            </w:r>
            <w:r w:rsidR="00FF1421" w:rsidRPr="00BA0058">
              <w:rPr>
                <w:rFonts w:cs="Arial"/>
                <w:sz w:val="22"/>
                <w:szCs w:val="22"/>
              </w:rPr>
              <w:t>s</w:t>
            </w:r>
            <w:r w:rsidR="0059480B" w:rsidRPr="00BA0058">
              <w:rPr>
                <w:rFonts w:cs="Arial"/>
                <w:sz w:val="22"/>
                <w:szCs w:val="22"/>
              </w:rPr>
              <w:t>)</w:t>
            </w:r>
            <w:r w:rsidR="00FF1421" w:rsidRPr="00BA0058">
              <w:rPr>
                <w:rFonts w:cs="Arial"/>
                <w:sz w:val="22"/>
                <w:szCs w:val="22"/>
              </w:rPr>
              <w:t>.</w:t>
            </w:r>
            <w:r w:rsidRPr="00BA0058">
              <w:rPr>
                <w:rFonts w:cs="Arial"/>
                <w:sz w:val="22"/>
                <w:szCs w:val="22"/>
              </w:rPr>
              <w:t xml:space="preserve"> This information should be obtained from the consignor</w:t>
            </w:r>
            <w:r w:rsidR="0059480B" w:rsidRPr="00BA0058">
              <w:rPr>
                <w:rFonts w:cs="Arial"/>
                <w:sz w:val="22"/>
                <w:szCs w:val="22"/>
              </w:rPr>
              <w:t>(</w:t>
            </w:r>
            <w:r w:rsidR="000D73C9" w:rsidRPr="00BA0058">
              <w:rPr>
                <w:rFonts w:cs="Arial"/>
                <w:sz w:val="22"/>
                <w:szCs w:val="22"/>
              </w:rPr>
              <w:t>s</w:t>
            </w:r>
            <w:r w:rsidR="0059480B" w:rsidRPr="00BA0058">
              <w:rPr>
                <w:rFonts w:cs="Arial"/>
                <w:sz w:val="22"/>
                <w:szCs w:val="22"/>
              </w:rPr>
              <w:t>)</w:t>
            </w:r>
            <w:r w:rsidRPr="00BA0058">
              <w:rPr>
                <w:rFonts w:cs="Arial"/>
                <w:sz w:val="22"/>
                <w:szCs w:val="22"/>
              </w:rPr>
              <w:t xml:space="preserve">. </w:t>
            </w:r>
          </w:p>
          <w:p w14:paraId="0A738C77" w14:textId="25F1D1DF" w:rsidR="00B85FC7" w:rsidRPr="00BA0058" w:rsidRDefault="004B68AC" w:rsidP="004B68AC">
            <w:pPr>
              <w:spacing w:before="60" w:after="60"/>
              <w:rPr>
                <w:rFonts w:cs="Arial"/>
                <w:sz w:val="22"/>
                <w:szCs w:val="22"/>
              </w:rPr>
            </w:pPr>
            <w:r w:rsidRPr="00BA0058">
              <w:rPr>
                <w:rFonts w:cs="Arial"/>
                <w:sz w:val="22"/>
                <w:szCs w:val="22"/>
              </w:rPr>
              <w:t xml:space="preserve">In the main, transport operations are unlikely to take place in or give rise to working environments where significant accumulation of </w:t>
            </w:r>
            <w:r w:rsidR="00DB04EA" w:rsidRPr="00BA0058">
              <w:rPr>
                <w:rFonts w:cs="Arial"/>
                <w:sz w:val="22"/>
                <w:szCs w:val="22"/>
              </w:rPr>
              <w:t xml:space="preserve">naturally occurring </w:t>
            </w:r>
            <w:r w:rsidRPr="00BA0058">
              <w:rPr>
                <w:rFonts w:cs="Arial"/>
                <w:sz w:val="22"/>
                <w:szCs w:val="22"/>
              </w:rPr>
              <w:t xml:space="preserve">radon </w:t>
            </w:r>
            <w:r w:rsidR="00DB04EA" w:rsidRPr="00BA0058">
              <w:rPr>
                <w:rFonts w:cs="Arial"/>
                <w:sz w:val="22"/>
                <w:szCs w:val="22"/>
              </w:rPr>
              <w:t xml:space="preserve">gas </w:t>
            </w:r>
            <w:r w:rsidRPr="00BA0058">
              <w:rPr>
                <w:rFonts w:cs="Arial"/>
                <w:sz w:val="22"/>
                <w:szCs w:val="22"/>
              </w:rPr>
              <w:t xml:space="preserve">is likely. However, exposure to radon should be considered </w:t>
            </w:r>
            <w:r w:rsidR="0059480B" w:rsidRPr="00BA0058">
              <w:rPr>
                <w:rFonts w:cs="Arial"/>
                <w:sz w:val="22"/>
                <w:szCs w:val="22"/>
              </w:rPr>
              <w:t xml:space="preserve">(see </w:t>
            </w:r>
            <w:hyperlink r:id="rId15" w:history="1">
              <w:r w:rsidR="0059480B" w:rsidRPr="00BA0058">
                <w:rPr>
                  <w:rStyle w:val="Hyperlink"/>
                  <w:rFonts w:cs="Arial"/>
                  <w:sz w:val="22"/>
                  <w:szCs w:val="22"/>
                </w:rPr>
                <w:t>HSE Radon in the Workplace guidance</w:t>
              </w:r>
            </w:hyperlink>
            <w:r w:rsidR="0059480B" w:rsidRPr="00BA0058">
              <w:rPr>
                <w:rFonts w:cs="Arial"/>
                <w:sz w:val="22"/>
                <w:szCs w:val="22"/>
              </w:rPr>
              <w:t xml:space="preserve">) </w:t>
            </w:r>
            <w:r w:rsidRPr="00BA0058">
              <w:rPr>
                <w:rFonts w:cs="Arial"/>
                <w:sz w:val="22"/>
                <w:szCs w:val="22"/>
              </w:rPr>
              <w:t xml:space="preserve">in relation to transport work undertaken in </w:t>
            </w:r>
            <w:r w:rsidR="00DB04EA" w:rsidRPr="00BA0058">
              <w:rPr>
                <w:rFonts w:cs="Arial"/>
                <w:sz w:val="22"/>
                <w:szCs w:val="22"/>
              </w:rPr>
              <w:t xml:space="preserve">buildings located in </w:t>
            </w:r>
            <w:hyperlink r:id="rId16" w:history="1">
              <w:r w:rsidRPr="00BA0058">
                <w:rPr>
                  <w:rStyle w:val="Hyperlink"/>
                  <w:rFonts w:cs="Arial"/>
                  <w:sz w:val="22"/>
                  <w:szCs w:val="22"/>
                </w:rPr>
                <w:t>radon affected areas</w:t>
              </w:r>
            </w:hyperlink>
            <w:r w:rsidRPr="00BA0058">
              <w:rPr>
                <w:rFonts w:cs="Arial"/>
                <w:sz w:val="22"/>
                <w:szCs w:val="22"/>
              </w:rPr>
              <w:t>, or where for instance the nature of the sources is such that radon is produced, and where material is stored in-transit for a period.</w:t>
            </w:r>
            <w:r w:rsidR="00F504D3" w:rsidRPr="00BA0058">
              <w:rPr>
                <w:rFonts w:cs="Arial"/>
                <w:sz w:val="22"/>
                <w:szCs w:val="22"/>
              </w:rPr>
              <w:t xml:space="preserve"> Where radon has been con</w:t>
            </w:r>
            <w:r w:rsidR="00F65DA5" w:rsidRPr="00BA0058">
              <w:rPr>
                <w:rFonts w:cs="Arial"/>
                <w:sz w:val="22"/>
                <w:szCs w:val="22"/>
              </w:rPr>
              <w:t xml:space="preserve">sidered and discounted </w:t>
            </w:r>
            <w:r w:rsidR="00F12C65" w:rsidRPr="00BA0058">
              <w:rPr>
                <w:rFonts w:cs="Arial"/>
                <w:sz w:val="22"/>
                <w:szCs w:val="22"/>
              </w:rPr>
              <w:t>a statement to this effect should be included.</w:t>
            </w:r>
          </w:p>
        </w:tc>
      </w:tr>
      <w:tr w:rsidR="003F650D" w:rsidRPr="00EB324F" w14:paraId="7466BE25" w14:textId="0DE056ED" w:rsidTr="00BA0058">
        <w:tc>
          <w:tcPr>
            <w:tcW w:w="469" w:type="pct"/>
            <w:shd w:val="clear" w:color="auto" w:fill="auto"/>
          </w:tcPr>
          <w:p w14:paraId="3676F2F4" w14:textId="55CDB13B" w:rsidR="003F650D" w:rsidRPr="00BA0058" w:rsidRDefault="004B68AC" w:rsidP="00063CA8">
            <w:pPr>
              <w:spacing w:before="60" w:after="60"/>
              <w:rPr>
                <w:rFonts w:cs="Arial"/>
                <w:sz w:val="22"/>
                <w:szCs w:val="22"/>
              </w:rPr>
            </w:pPr>
            <w:r w:rsidRPr="00BA0058">
              <w:rPr>
                <w:rFonts w:cs="Arial"/>
                <w:sz w:val="22"/>
                <w:szCs w:val="22"/>
              </w:rPr>
              <w:t>(b)</w:t>
            </w:r>
          </w:p>
        </w:tc>
        <w:tc>
          <w:tcPr>
            <w:tcW w:w="1258" w:type="pct"/>
            <w:shd w:val="clear" w:color="auto" w:fill="auto"/>
          </w:tcPr>
          <w:p w14:paraId="0C535814" w14:textId="3BF21A42" w:rsidR="003F650D" w:rsidRPr="00BA0058" w:rsidRDefault="004B68AC" w:rsidP="00063CA8">
            <w:pPr>
              <w:spacing w:before="60" w:after="60"/>
              <w:rPr>
                <w:rFonts w:cs="Arial"/>
                <w:sz w:val="22"/>
                <w:szCs w:val="22"/>
              </w:rPr>
            </w:pPr>
            <w:r w:rsidRPr="00BA0058">
              <w:rPr>
                <w:sz w:val="22"/>
                <w:szCs w:val="22"/>
              </w:rPr>
              <w:t>Estimated radiation dose rates to which anyone can be exposed.</w:t>
            </w:r>
          </w:p>
        </w:tc>
        <w:tc>
          <w:tcPr>
            <w:tcW w:w="3273" w:type="pct"/>
          </w:tcPr>
          <w:p w14:paraId="720F5427" w14:textId="7787610B" w:rsidR="003358AB" w:rsidRPr="00BA0058" w:rsidRDefault="004B68AC" w:rsidP="005D156B">
            <w:pPr>
              <w:spacing w:before="60"/>
              <w:rPr>
                <w:sz w:val="22"/>
                <w:szCs w:val="22"/>
              </w:rPr>
            </w:pPr>
            <w:r w:rsidRPr="00BA0058">
              <w:rPr>
                <w:sz w:val="22"/>
                <w:szCs w:val="22"/>
              </w:rPr>
              <w:t xml:space="preserve">Estimate whole </w:t>
            </w:r>
            <w:r w:rsidR="009A7602" w:rsidRPr="00BA0058">
              <w:rPr>
                <w:sz w:val="22"/>
                <w:szCs w:val="22"/>
              </w:rPr>
              <w:t xml:space="preserve">effective </w:t>
            </w:r>
            <w:r w:rsidRPr="00BA0058">
              <w:rPr>
                <w:sz w:val="22"/>
                <w:szCs w:val="22"/>
              </w:rPr>
              <w:t xml:space="preserve">body doses, </w:t>
            </w:r>
            <w:r w:rsidR="009A7602" w:rsidRPr="00BA0058">
              <w:rPr>
                <w:sz w:val="22"/>
                <w:szCs w:val="22"/>
              </w:rPr>
              <w:t xml:space="preserve">equivalent </w:t>
            </w:r>
            <w:r w:rsidRPr="00BA0058">
              <w:rPr>
                <w:sz w:val="22"/>
                <w:szCs w:val="22"/>
              </w:rPr>
              <w:t>doses to hands,</w:t>
            </w:r>
            <w:r w:rsidR="00AC5D1F" w:rsidRPr="00BA0058">
              <w:rPr>
                <w:sz w:val="22"/>
                <w:szCs w:val="22"/>
              </w:rPr>
              <w:t xml:space="preserve"> extremities,</w:t>
            </w:r>
            <w:r w:rsidRPr="00BA0058">
              <w:rPr>
                <w:sz w:val="22"/>
                <w:szCs w:val="22"/>
              </w:rPr>
              <w:t xml:space="preserve"> eyes etc. (as appropriate) to employees involved in preparing, handling, </w:t>
            </w:r>
            <w:r w:rsidR="003F1109" w:rsidRPr="00BA0058">
              <w:rPr>
                <w:sz w:val="22"/>
                <w:szCs w:val="22"/>
              </w:rPr>
              <w:t xml:space="preserve">storing, </w:t>
            </w:r>
            <w:r w:rsidRPr="00BA0058">
              <w:rPr>
                <w:sz w:val="22"/>
                <w:szCs w:val="22"/>
              </w:rPr>
              <w:t>loading</w:t>
            </w:r>
            <w:r w:rsidR="002D5DAA" w:rsidRPr="00BA0058">
              <w:rPr>
                <w:sz w:val="22"/>
                <w:szCs w:val="22"/>
              </w:rPr>
              <w:t xml:space="preserve">, </w:t>
            </w:r>
            <w:proofErr w:type="gramStart"/>
            <w:r w:rsidR="002D5DAA" w:rsidRPr="00BA0058">
              <w:rPr>
                <w:sz w:val="22"/>
                <w:szCs w:val="22"/>
              </w:rPr>
              <w:t>carrying</w:t>
            </w:r>
            <w:proofErr w:type="gramEnd"/>
            <w:r w:rsidRPr="00BA0058">
              <w:rPr>
                <w:sz w:val="22"/>
                <w:szCs w:val="22"/>
              </w:rPr>
              <w:t xml:space="preserve"> and unloading packages containing radioactive material. Take account of the number and types of packages, accessible dose rates (typical and maximum) and time spent working with them</w:t>
            </w:r>
            <w:r w:rsidR="0059019C" w:rsidRPr="00BA0058">
              <w:rPr>
                <w:sz w:val="22"/>
                <w:szCs w:val="22"/>
              </w:rPr>
              <w:t xml:space="preserve">. </w:t>
            </w:r>
          </w:p>
          <w:p w14:paraId="6C32AC82" w14:textId="72F52B79" w:rsidR="00A8658D" w:rsidRPr="00BA0058" w:rsidRDefault="003358AB" w:rsidP="005D156B">
            <w:pPr>
              <w:spacing w:before="60"/>
              <w:rPr>
                <w:sz w:val="22"/>
                <w:szCs w:val="22"/>
              </w:rPr>
            </w:pPr>
            <w:r w:rsidRPr="00BA0058">
              <w:rPr>
                <w:sz w:val="22"/>
                <w:szCs w:val="22"/>
              </w:rPr>
              <w:t xml:space="preserve">Estimate </w:t>
            </w:r>
            <w:r w:rsidR="009A7602" w:rsidRPr="00BA0058">
              <w:rPr>
                <w:sz w:val="22"/>
                <w:szCs w:val="22"/>
              </w:rPr>
              <w:t xml:space="preserve">effective </w:t>
            </w:r>
            <w:r w:rsidRPr="00BA0058">
              <w:rPr>
                <w:sz w:val="22"/>
                <w:szCs w:val="22"/>
              </w:rPr>
              <w:t xml:space="preserve">doses to </w:t>
            </w:r>
            <w:r w:rsidR="004B68AC" w:rsidRPr="00BA0058">
              <w:rPr>
                <w:sz w:val="22"/>
                <w:szCs w:val="22"/>
              </w:rPr>
              <w:t xml:space="preserve">other persons who may be in the vicinity where dose rates exceed normal background levels. </w:t>
            </w:r>
          </w:p>
          <w:p w14:paraId="458DE33A" w14:textId="1413AA5C" w:rsidR="00931E82" w:rsidRPr="00BA0058" w:rsidRDefault="005945A2" w:rsidP="005D156B">
            <w:pPr>
              <w:spacing w:before="60"/>
              <w:rPr>
                <w:sz w:val="22"/>
                <w:szCs w:val="22"/>
              </w:rPr>
            </w:pPr>
            <w:r w:rsidRPr="00BA0058">
              <w:rPr>
                <w:rFonts w:cs="Arial"/>
                <w:sz w:val="22"/>
                <w:szCs w:val="22"/>
              </w:rPr>
              <w:t xml:space="preserve">Estimated dose rates should be justified </w:t>
            </w:r>
            <w:proofErr w:type="gramStart"/>
            <w:r w:rsidRPr="00BA0058">
              <w:rPr>
                <w:rFonts w:cs="Arial"/>
                <w:sz w:val="22"/>
                <w:szCs w:val="22"/>
              </w:rPr>
              <w:t>through the use of</w:t>
            </w:r>
            <w:proofErr w:type="gramEnd"/>
            <w:r w:rsidRPr="00BA0058">
              <w:rPr>
                <w:rFonts w:cs="Arial"/>
                <w:sz w:val="22"/>
                <w:szCs w:val="22"/>
              </w:rPr>
              <w:t xml:space="preserve"> calculations or physical readings, with assumptions clearly defined. Where physical readings have been taken these can be used to support calculations but shouldn’t be used as final estimates without justification that they bound all cases.</w:t>
            </w:r>
            <w:r w:rsidR="00836D35" w:rsidRPr="00BA0058">
              <w:rPr>
                <w:rFonts w:cs="Arial"/>
                <w:sz w:val="22"/>
                <w:szCs w:val="22"/>
              </w:rPr>
              <w:t xml:space="preserve"> </w:t>
            </w:r>
          </w:p>
          <w:p w14:paraId="72737436" w14:textId="517B56CD" w:rsidR="00E522D7" w:rsidRPr="00BA0058" w:rsidRDefault="001E7F8A" w:rsidP="005D156B">
            <w:pPr>
              <w:spacing w:before="60"/>
              <w:rPr>
                <w:rFonts w:cs="Arial"/>
                <w:sz w:val="22"/>
                <w:szCs w:val="22"/>
              </w:rPr>
            </w:pPr>
            <w:r w:rsidRPr="00BA0058">
              <w:rPr>
                <w:sz w:val="22"/>
                <w:szCs w:val="22"/>
              </w:rPr>
              <w:t>Note that f</w:t>
            </w:r>
            <w:r w:rsidR="004B68AC" w:rsidRPr="00BA0058">
              <w:rPr>
                <w:sz w:val="22"/>
                <w:szCs w:val="22"/>
              </w:rPr>
              <w:t>actor</w:t>
            </w:r>
            <w:r w:rsidR="00A8658D" w:rsidRPr="00BA0058">
              <w:rPr>
                <w:sz w:val="22"/>
                <w:szCs w:val="22"/>
              </w:rPr>
              <w:t>s</w:t>
            </w:r>
            <w:r w:rsidR="004B68AC" w:rsidRPr="00BA0058">
              <w:rPr>
                <w:sz w:val="22"/>
                <w:szCs w:val="22"/>
              </w:rPr>
              <w:t xml:space="preserve"> affecting exposure whilst driving will </w:t>
            </w:r>
            <w:proofErr w:type="gramStart"/>
            <w:r w:rsidR="004B68AC" w:rsidRPr="00BA0058">
              <w:rPr>
                <w:sz w:val="22"/>
                <w:szCs w:val="22"/>
              </w:rPr>
              <w:t>include:</w:t>
            </w:r>
            <w:proofErr w:type="gramEnd"/>
            <w:r w:rsidR="004B68AC" w:rsidRPr="00BA0058">
              <w:rPr>
                <w:sz w:val="22"/>
                <w:szCs w:val="22"/>
              </w:rPr>
              <w:t xml:space="preserve"> Vehicle size, position of packages in vehicle, number and category of package (I-White, II- Yellow and III-Yellow) journey times, number of available drivers for Class 7 work, and shift pattern. This list is not exhaustive.</w:t>
            </w:r>
          </w:p>
        </w:tc>
      </w:tr>
      <w:tr w:rsidR="003F650D" w:rsidRPr="00EB324F" w14:paraId="4A6505B3" w14:textId="523E406D" w:rsidTr="00BA0058">
        <w:tc>
          <w:tcPr>
            <w:tcW w:w="469" w:type="pct"/>
            <w:shd w:val="clear" w:color="auto" w:fill="auto"/>
          </w:tcPr>
          <w:p w14:paraId="24998B34" w14:textId="5CAAF85E" w:rsidR="003F650D" w:rsidRPr="00BA0058" w:rsidRDefault="00FE1FEA" w:rsidP="00063CA8">
            <w:pPr>
              <w:spacing w:before="60" w:after="60"/>
              <w:rPr>
                <w:rFonts w:cs="Arial"/>
                <w:sz w:val="22"/>
                <w:szCs w:val="22"/>
              </w:rPr>
            </w:pPr>
            <w:r w:rsidRPr="00BA0058">
              <w:rPr>
                <w:rFonts w:cs="Arial"/>
                <w:sz w:val="22"/>
                <w:szCs w:val="22"/>
              </w:rPr>
              <w:t>(c)</w:t>
            </w:r>
          </w:p>
        </w:tc>
        <w:tc>
          <w:tcPr>
            <w:tcW w:w="1258" w:type="pct"/>
            <w:shd w:val="clear" w:color="auto" w:fill="auto"/>
          </w:tcPr>
          <w:p w14:paraId="317E03D0" w14:textId="1A3C9A02" w:rsidR="003F650D" w:rsidRPr="00BA0058" w:rsidRDefault="00FE1FEA" w:rsidP="00063CA8">
            <w:pPr>
              <w:spacing w:before="60" w:after="60"/>
              <w:rPr>
                <w:rFonts w:cs="Arial"/>
                <w:sz w:val="22"/>
                <w:szCs w:val="22"/>
              </w:rPr>
            </w:pPr>
            <w:r w:rsidRPr="00BA0058">
              <w:rPr>
                <w:sz w:val="22"/>
                <w:szCs w:val="22"/>
              </w:rPr>
              <w:t>The likelihood of contamination arising and being spread.</w:t>
            </w:r>
          </w:p>
        </w:tc>
        <w:tc>
          <w:tcPr>
            <w:tcW w:w="3273" w:type="pct"/>
          </w:tcPr>
          <w:p w14:paraId="137DC59C" w14:textId="5EBFEED6" w:rsidR="003F650D" w:rsidRPr="00BA0058" w:rsidRDefault="00FE1FEA" w:rsidP="005D156B">
            <w:pPr>
              <w:spacing w:before="60"/>
              <w:rPr>
                <w:sz w:val="22"/>
                <w:szCs w:val="22"/>
              </w:rPr>
            </w:pPr>
            <w:r w:rsidRPr="00BA0058">
              <w:rPr>
                <w:sz w:val="22"/>
                <w:szCs w:val="22"/>
              </w:rPr>
              <w:t xml:space="preserve">The physical form the material takes will have a significant bearing on the likelihood of contamination arising and being spread. Consider the potential for contamination arising from the radioactive contents both in routine and accident conditions. Also consider whether the working environment is such that contamination of a package is reasonably foreseeable </w:t>
            </w:r>
            <w:proofErr w:type="gramStart"/>
            <w:r w:rsidRPr="00BA0058">
              <w:rPr>
                <w:sz w:val="22"/>
                <w:szCs w:val="22"/>
              </w:rPr>
              <w:t>i.e.</w:t>
            </w:r>
            <w:proofErr w:type="gramEnd"/>
            <w:r w:rsidRPr="00BA0058">
              <w:rPr>
                <w:sz w:val="22"/>
                <w:szCs w:val="22"/>
              </w:rPr>
              <w:t xml:space="preserve"> are contamination control procedures robust</w:t>
            </w:r>
            <w:r w:rsidR="00551F29" w:rsidRPr="00BA0058">
              <w:rPr>
                <w:sz w:val="22"/>
                <w:szCs w:val="22"/>
              </w:rPr>
              <w:t xml:space="preserve">, </w:t>
            </w:r>
            <w:r w:rsidR="00D33FDA" w:rsidRPr="00BA0058">
              <w:rPr>
                <w:sz w:val="22"/>
                <w:szCs w:val="22"/>
              </w:rPr>
              <w:t xml:space="preserve">could the </w:t>
            </w:r>
            <w:r w:rsidR="00551F29" w:rsidRPr="00BA0058">
              <w:rPr>
                <w:sz w:val="22"/>
                <w:szCs w:val="22"/>
              </w:rPr>
              <w:t xml:space="preserve">integrity of the package </w:t>
            </w:r>
            <w:r w:rsidR="00D33FDA" w:rsidRPr="00BA0058">
              <w:rPr>
                <w:sz w:val="22"/>
                <w:szCs w:val="22"/>
              </w:rPr>
              <w:t>be compromised</w:t>
            </w:r>
            <w:r w:rsidRPr="00BA0058">
              <w:rPr>
                <w:sz w:val="22"/>
                <w:szCs w:val="22"/>
              </w:rPr>
              <w:t xml:space="preserve">? Note that this should also be considered in the case of the transport of </w:t>
            </w:r>
            <w:r w:rsidRPr="00BA0058">
              <w:rPr>
                <w:i/>
                <w:iCs/>
                <w:sz w:val="22"/>
                <w:szCs w:val="22"/>
              </w:rPr>
              <w:t>special form</w:t>
            </w:r>
            <w:r w:rsidR="00A34AF8" w:rsidRPr="00BA0058">
              <w:rPr>
                <w:sz w:val="22"/>
                <w:szCs w:val="22"/>
                <w:vertAlign w:val="superscript"/>
              </w:rPr>
              <w:t>1</w:t>
            </w:r>
            <w:r w:rsidRPr="00BA0058">
              <w:rPr>
                <w:sz w:val="22"/>
                <w:szCs w:val="22"/>
              </w:rPr>
              <w:t xml:space="preserve"> radioactive material, although the risk of contamination is extremely low</w:t>
            </w:r>
            <w:r w:rsidR="0079753F" w:rsidRPr="00BA0058">
              <w:rPr>
                <w:sz w:val="22"/>
                <w:szCs w:val="22"/>
              </w:rPr>
              <w:t>.</w:t>
            </w:r>
          </w:p>
          <w:p w14:paraId="393A811F" w14:textId="4CBAC8D2" w:rsidR="00C67A0A" w:rsidRPr="00BA0058" w:rsidRDefault="00CD3598" w:rsidP="005D156B">
            <w:pPr>
              <w:spacing w:before="60"/>
              <w:rPr>
                <w:rFonts w:cs="Arial"/>
                <w:sz w:val="22"/>
                <w:szCs w:val="22"/>
              </w:rPr>
            </w:pPr>
            <w:r w:rsidRPr="00BA0058">
              <w:rPr>
                <w:rFonts w:cs="Arial"/>
                <w:sz w:val="22"/>
                <w:szCs w:val="22"/>
              </w:rPr>
              <w:t xml:space="preserve">Specify the </w:t>
            </w:r>
            <w:r w:rsidR="00FE7FE5" w:rsidRPr="00BA0058">
              <w:rPr>
                <w:rFonts w:cs="Arial"/>
                <w:sz w:val="22"/>
                <w:szCs w:val="22"/>
              </w:rPr>
              <w:t>frequency of contamination monitoring</w:t>
            </w:r>
            <w:r w:rsidR="000658A1" w:rsidRPr="00BA0058">
              <w:rPr>
                <w:rFonts w:cs="Arial"/>
                <w:sz w:val="22"/>
                <w:szCs w:val="22"/>
              </w:rPr>
              <w:t xml:space="preserve"> of areas/vehicles</w:t>
            </w:r>
            <w:r w:rsidRPr="00BA0058">
              <w:rPr>
                <w:rFonts w:cs="Arial"/>
                <w:sz w:val="22"/>
                <w:szCs w:val="22"/>
              </w:rPr>
              <w:t xml:space="preserve">. </w:t>
            </w:r>
            <w:r w:rsidR="00FE7FE5" w:rsidRPr="00BA0058">
              <w:rPr>
                <w:rFonts w:cs="Arial"/>
                <w:sz w:val="22"/>
                <w:szCs w:val="22"/>
              </w:rPr>
              <w:t xml:space="preserve">More frequently for liquids, less so for </w:t>
            </w:r>
            <w:r w:rsidR="00FE7FE5" w:rsidRPr="00BA0058">
              <w:rPr>
                <w:rFonts w:cs="Arial"/>
                <w:i/>
                <w:iCs/>
                <w:sz w:val="22"/>
                <w:szCs w:val="22"/>
              </w:rPr>
              <w:t>special form</w:t>
            </w:r>
            <w:r w:rsidR="00FE7FE5" w:rsidRPr="00BA0058">
              <w:rPr>
                <w:rFonts w:cs="Arial"/>
                <w:sz w:val="22"/>
                <w:szCs w:val="22"/>
              </w:rPr>
              <w:t xml:space="preserve"> radioactive material. See also ONR guidance Transporting radioactive material - Guidance on radiation and contamination monitoring </w:t>
            </w:r>
            <w:proofErr w:type="gramStart"/>
            <w:r w:rsidR="00FE7FE5" w:rsidRPr="00BA0058">
              <w:rPr>
                <w:rFonts w:cs="Arial"/>
                <w:sz w:val="22"/>
                <w:szCs w:val="22"/>
              </w:rPr>
              <w:t>requirements, and</w:t>
            </w:r>
            <w:proofErr w:type="gramEnd"/>
            <w:r w:rsidR="00FE7FE5" w:rsidRPr="00BA0058">
              <w:rPr>
                <w:rFonts w:cs="Arial"/>
                <w:sz w:val="22"/>
                <w:szCs w:val="22"/>
              </w:rPr>
              <w:t xml:space="preserve"> determining a Transport Index</w:t>
            </w:r>
            <w:r w:rsidR="00212C67" w:rsidRPr="00BA0058">
              <w:rPr>
                <w:rFonts w:cs="Arial"/>
                <w:sz w:val="22"/>
                <w:szCs w:val="22"/>
              </w:rPr>
              <w:t xml:space="preserve"> </w:t>
            </w:r>
            <w:sdt>
              <w:sdtPr>
                <w:rPr>
                  <w:rFonts w:cs="Arial"/>
                  <w:sz w:val="22"/>
                  <w:szCs w:val="22"/>
                </w:rPr>
                <w:id w:val="556287220"/>
                <w:citation/>
              </w:sdtPr>
              <w:sdtEndPr/>
              <w:sdtContent>
                <w:r w:rsidR="00212C67" w:rsidRPr="00BA0058">
                  <w:rPr>
                    <w:rFonts w:cs="Arial"/>
                    <w:sz w:val="22"/>
                    <w:szCs w:val="22"/>
                  </w:rPr>
                  <w:fldChar w:fldCharType="begin"/>
                </w:r>
                <w:r w:rsidR="00212C67" w:rsidRPr="00BA0058">
                  <w:rPr>
                    <w:rFonts w:cs="Arial"/>
                    <w:sz w:val="22"/>
                    <w:szCs w:val="22"/>
                  </w:rPr>
                  <w:instrText xml:space="preserve"> CITATION Tra16 \l 2057 </w:instrText>
                </w:r>
                <w:r w:rsidR="00212C67" w:rsidRPr="00BA0058">
                  <w:rPr>
                    <w:rFonts w:cs="Arial"/>
                    <w:sz w:val="22"/>
                    <w:szCs w:val="22"/>
                  </w:rPr>
                  <w:fldChar w:fldCharType="separate"/>
                </w:r>
                <w:r w:rsidR="00BA0058" w:rsidRPr="00BA0058">
                  <w:rPr>
                    <w:rFonts w:cs="Arial"/>
                    <w:noProof/>
                    <w:sz w:val="22"/>
                    <w:szCs w:val="22"/>
                  </w:rPr>
                  <w:t>[5]</w:t>
                </w:r>
                <w:r w:rsidR="00212C67" w:rsidRPr="00BA0058">
                  <w:rPr>
                    <w:rFonts w:cs="Arial"/>
                    <w:sz w:val="22"/>
                    <w:szCs w:val="22"/>
                  </w:rPr>
                  <w:fldChar w:fldCharType="end"/>
                </w:r>
              </w:sdtContent>
            </w:sdt>
            <w:r w:rsidR="00303284" w:rsidRPr="00BA0058">
              <w:rPr>
                <w:rFonts w:cs="Arial"/>
                <w:sz w:val="22"/>
                <w:szCs w:val="22"/>
              </w:rPr>
              <w:t>.</w:t>
            </w:r>
          </w:p>
        </w:tc>
      </w:tr>
      <w:tr w:rsidR="004B68AC" w:rsidRPr="00EB324F" w14:paraId="3596FC03" w14:textId="77777777" w:rsidTr="00BA0058">
        <w:tc>
          <w:tcPr>
            <w:tcW w:w="469" w:type="pct"/>
            <w:shd w:val="clear" w:color="auto" w:fill="auto"/>
          </w:tcPr>
          <w:p w14:paraId="6E14CE05" w14:textId="59FF20ED" w:rsidR="004B68AC" w:rsidRPr="00BA0058" w:rsidRDefault="00FE1FEA" w:rsidP="00063CA8">
            <w:pPr>
              <w:spacing w:before="60" w:after="60"/>
              <w:rPr>
                <w:rFonts w:cs="Arial"/>
                <w:sz w:val="22"/>
                <w:szCs w:val="22"/>
              </w:rPr>
            </w:pPr>
            <w:r w:rsidRPr="00BA0058">
              <w:rPr>
                <w:rFonts w:cs="Arial"/>
                <w:sz w:val="22"/>
                <w:szCs w:val="22"/>
              </w:rPr>
              <w:t>(d)</w:t>
            </w:r>
          </w:p>
        </w:tc>
        <w:tc>
          <w:tcPr>
            <w:tcW w:w="1258" w:type="pct"/>
            <w:shd w:val="clear" w:color="auto" w:fill="auto"/>
          </w:tcPr>
          <w:p w14:paraId="2F30762D" w14:textId="0FA86296" w:rsidR="004B68AC" w:rsidRPr="00BA0058" w:rsidRDefault="00FE1FEA" w:rsidP="00063CA8">
            <w:pPr>
              <w:spacing w:before="60" w:after="60"/>
              <w:rPr>
                <w:rFonts w:cs="Arial"/>
                <w:sz w:val="22"/>
                <w:szCs w:val="22"/>
              </w:rPr>
            </w:pPr>
            <w:r w:rsidRPr="00BA0058">
              <w:rPr>
                <w:sz w:val="22"/>
                <w:szCs w:val="22"/>
              </w:rPr>
              <w:t>The results of any previous personal dosimetry or area monitoring relevant to the proposed work.</w:t>
            </w:r>
          </w:p>
        </w:tc>
        <w:tc>
          <w:tcPr>
            <w:tcW w:w="3273" w:type="pct"/>
          </w:tcPr>
          <w:p w14:paraId="71326699" w14:textId="3F8A9E86" w:rsidR="004B68AC" w:rsidRPr="00BA0058" w:rsidRDefault="009559B3" w:rsidP="00063CA8">
            <w:pPr>
              <w:spacing w:before="60" w:after="60"/>
              <w:rPr>
                <w:rFonts w:cs="Arial"/>
                <w:sz w:val="22"/>
                <w:szCs w:val="22"/>
              </w:rPr>
            </w:pPr>
            <w:r w:rsidRPr="00BA0058">
              <w:rPr>
                <w:sz w:val="22"/>
                <w:szCs w:val="22"/>
              </w:rPr>
              <w:t xml:space="preserve">Include </w:t>
            </w:r>
            <w:r w:rsidR="00EC6056" w:rsidRPr="00BA0058">
              <w:rPr>
                <w:sz w:val="22"/>
                <w:szCs w:val="22"/>
              </w:rPr>
              <w:t xml:space="preserve">typical and maximum </w:t>
            </w:r>
            <w:r w:rsidRPr="00BA0058">
              <w:rPr>
                <w:sz w:val="22"/>
                <w:szCs w:val="22"/>
              </w:rPr>
              <w:t>p</w:t>
            </w:r>
            <w:r w:rsidR="00FE1FEA" w:rsidRPr="00BA0058">
              <w:rPr>
                <w:sz w:val="22"/>
                <w:szCs w:val="22"/>
              </w:rPr>
              <w:t>revious dosimetry results for individuals and area monitoring results</w:t>
            </w:r>
            <w:r w:rsidR="00D4056C" w:rsidRPr="00BA0058">
              <w:rPr>
                <w:sz w:val="22"/>
                <w:szCs w:val="22"/>
              </w:rPr>
              <w:t>, noting that they</w:t>
            </w:r>
            <w:r w:rsidR="00FE1FEA" w:rsidRPr="00BA0058">
              <w:rPr>
                <w:sz w:val="22"/>
                <w:szCs w:val="22"/>
              </w:rPr>
              <w:t xml:space="preserve"> can be informative and can support dose estimates at (b) above. If no such information is </w:t>
            </w:r>
            <w:proofErr w:type="gramStart"/>
            <w:r w:rsidR="00FE1FEA" w:rsidRPr="00BA0058">
              <w:rPr>
                <w:sz w:val="22"/>
                <w:szCs w:val="22"/>
              </w:rPr>
              <w:t>available</w:t>
            </w:r>
            <w:proofErr w:type="gramEnd"/>
            <w:r w:rsidR="00FE1FEA" w:rsidRPr="00BA0058">
              <w:rPr>
                <w:sz w:val="22"/>
                <w:szCs w:val="22"/>
              </w:rPr>
              <w:t xml:space="preserve"> then record the reason for this.</w:t>
            </w:r>
          </w:p>
        </w:tc>
      </w:tr>
      <w:tr w:rsidR="004B68AC" w:rsidRPr="00EB324F" w14:paraId="1C97F6B3" w14:textId="77777777" w:rsidTr="00BA0058">
        <w:tc>
          <w:tcPr>
            <w:tcW w:w="469" w:type="pct"/>
            <w:shd w:val="clear" w:color="auto" w:fill="auto"/>
          </w:tcPr>
          <w:p w14:paraId="3981F20A" w14:textId="3348D96B" w:rsidR="004B68AC" w:rsidRPr="00BA0058" w:rsidRDefault="00FE1FEA" w:rsidP="00063CA8">
            <w:pPr>
              <w:spacing w:before="60" w:after="60"/>
              <w:rPr>
                <w:rFonts w:cs="Arial"/>
                <w:sz w:val="22"/>
                <w:szCs w:val="22"/>
              </w:rPr>
            </w:pPr>
            <w:r w:rsidRPr="00BA0058">
              <w:rPr>
                <w:rFonts w:cs="Arial"/>
                <w:sz w:val="22"/>
                <w:szCs w:val="22"/>
              </w:rPr>
              <w:t>(e)</w:t>
            </w:r>
          </w:p>
        </w:tc>
        <w:tc>
          <w:tcPr>
            <w:tcW w:w="1258" w:type="pct"/>
            <w:shd w:val="clear" w:color="auto" w:fill="auto"/>
          </w:tcPr>
          <w:p w14:paraId="492F3276" w14:textId="21406F97" w:rsidR="004B68AC" w:rsidRPr="00BA0058" w:rsidRDefault="00FE1FEA" w:rsidP="00063CA8">
            <w:pPr>
              <w:spacing w:before="60" w:after="60"/>
              <w:rPr>
                <w:rFonts w:cs="Arial"/>
                <w:sz w:val="22"/>
                <w:szCs w:val="22"/>
              </w:rPr>
            </w:pPr>
            <w:r w:rsidRPr="00BA0058">
              <w:rPr>
                <w:sz w:val="22"/>
                <w:szCs w:val="22"/>
              </w:rPr>
              <w:t>Advice from the manufacture or supplier of equipment about its safe use and maintenance.</w:t>
            </w:r>
          </w:p>
        </w:tc>
        <w:tc>
          <w:tcPr>
            <w:tcW w:w="3273" w:type="pct"/>
          </w:tcPr>
          <w:p w14:paraId="11A88EAC" w14:textId="24DFCBFE" w:rsidR="00034723" w:rsidRPr="00BA0058" w:rsidRDefault="00034723" w:rsidP="00464EB5">
            <w:pPr>
              <w:spacing w:before="60"/>
              <w:rPr>
                <w:sz w:val="22"/>
                <w:szCs w:val="22"/>
              </w:rPr>
            </w:pPr>
            <w:r w:rsidRPr="00BA0058">
              <w:rPr>
                <w:sz w:val="22"/>
                <w:szCs w:val="22"/>
              </w:rPr>
              <w:t xml:space="preserve">Describe how </w:t>
            </w:r>
            <w:r w:rsidR="005F08EC" w:rsidRPr="00BA0058">
              <w:rPr>
                <w:sz w:val="22"/>
                <w:szCs w:val="22"/>
              </w:rPr>
              <w:t xml:space="preserve">advice </w:t>
            </w:r>
            <w:r w:rsidR="00172C4C" w:rsidRPr="00BA0058">
              <w:rPr>
                <w:sz w:val="22"/>
                <w:szCs w:val="22"/>
              </w:rPr>
              <w:t xml:space="preserve">on the use and maintenance </w:t>
            </w:r>
            <w:r w:rsidR="005D3179" w:rsidRPr="00BA0058">
              <w:rPr>
                <w:sz w:val="22"/>
                <w:szCs w:val="22"/>
              </w:rPr>
              <w:t xml:space="preserve">of equipment/packages </w:t>
            </w:r>
            <w:r w:rsidR="0012353B" w:rsidRPr="00BA0058">
              <w:rPr>
                <w:sz w:val="22"/>
                <w:szCs w:val="22"/>
              </w:rPr>
              <w:t xml:space="preserve">is obtained </w:t>
            </w:r>
            <w:r w:rsidR="005D3179" w:rsidRPr="00BA0058">
              <w:rPr>
                <w:sz w:val="22"/>
                <w:szCs w:val="22"/>
              </w:rPr>
              <w:t>from the manufacturer or su</w:t>
            </w:r>
            <w:r w:rsidR="005F08EC" w:rsidRPr="00BA0058">
              <w:rPr>
                <w:sz w:val="22"/>
                <w:szCs w:val="22"/>
              </w:rPr>
              <w:t>ppl</w:t>
            </w:r>
            <w:r w:rsidR="005D3179" w:rsidRPr="00BA0058">
              <w:rPr>
                <w:sz w:val="22"/>
                <w:szCs w:val="22"/>
              </w:rPr>
              <w:t>i</w:t>
            </w:r>
            <w:r w:rsidR="005F08EC" w:rsidRPr="00BA0058">
              <w:rPr>
                <w:sz w:val="22"/>
                <w:szCs w:val="22"/>
              </w:rPr>
              <w:t>er</w:t>
            </w:r>
            <w:r w:rsidR="00476A85" w:rsidRPr="00BA0058">
              <w:rPr>
                <w:sz w:val="22"/>
                <w:szCs w:val="22"/>
              </w:rPr>
              <w:t xml:space="preserve"> and </w:t>
            </w:r>
            <w:r w:rsidR="002F53C8" w:rsidRPr="00BA0058">
              <w:rPr>
                <w:sz w:val="22"/>
                <w:szCs w:val="22"/>
              </w:rPr>
              <w:t>incorporated</w:t>
            </w:r>
            <w:r w:rsidR="00476A85" w:rsidRPr="00BA0058">
              <w:rPr>
                <w:sz w:val="22"/>
                <w:szCs w:val="22"/>
              </w:rPr>
              <w:t xml:space="preserve"> into </w:t>
            </w:r>
            <w:r w:rsidR="00D33896" w:rsidRPr="00BA0058">
              <w:rPr>
                <w:sz w:val="22"/>
                <w:szCs w:val="22"/>
              </w:rPr>
              <w:t xml:space="preserve">operating </w:t>
            </w:r>
            <w:r w:rsidR="00476A85" w:rsidRPr="00BA0058">
              <w:rPr>
                <w:sz w:val="22"/>
                <w:szCs w:val="22"/>
              </w:rPr>
              <w:t>procedures</w:t>
            </w:r>
            <w:r w:rsidR="0012353B" w:rsidRPr="00BA0058">
              <w:rPr>
                <w:sz w:val="22"/>
                <w:szCs w:val="22"/>
              </w:rPr>
              <w:t>.</w:t>
            </w:r>
          </w:p>
          <w:p w14:paraId="4B4F0460" w14:textId="77777777" w:rsidR="00337DE0" w:rsidRPr="00BA0058" w:rsidRDefault="00FE0DAC" w:rsidP="00063CA8">
            <w:pPr>
              <w:spacing w:before="60" w:after="60"/>
              <w:rPr>
                <w:sz w:val="22"/>
                <w:szCs w:val="22"/>
              </w:rPr>
            </w:pPr>
            <w:r w:rsidRPr="00BA0058">
              <w:rPr>
                <w:sz w:val="22"/>
                <w:szCs w:val="22"/>
              </w:rPr>
              <w:t xml:space="preserve">Examples of why it is important to ensure </w:t>
            </w:r>
            <w:r w:rsidR="004852B7" w:rsidRPr="00BA0058">
              <w:rPr>
                <w:sz w:val="22"/>
                <w:szCs w:val="22"/>
              </w:rPr>
              <w:t>equipment/packages are used and maintained</w:t>
            </w:r>
            <w:r w:rsidR="004A3565" w:rsidRPr="00BA0058">
              <w:rPr>
                <w:sz w:val="22"/>
                <w:szCs w:val="22"/>
              </w:rPr>
              <w:t xml:space="preserve"> in accordance with manufacturer/supplier specifications</w:t>
            </w:r>
            <w:r w:rsidR="00337DE0" w:rsidRPr="00BA0058">
              <w:rPr>
                <w:sz w:val="22"/>
                <w:szCs w:val="22"/>
              </w:rPr>
              <w:t xml:space="preserve"> are:</w:t>
            </w:r>
          </w:p>
          <w:p w14:paraId="596B104D" w14:textId="0606BB60" w:rsidR="009F6687" w:rsidRPr="00BA0058" w:rsidRDefault="00FE1FEA" w:rsidP="00951121">
            <w:pPr>
              <w:pStyle w:val="ListParagraph"/>
              <w:numPr>
                <w:ilvl w:val="0"/>
                <w:numId w:val="25"/>
              </w:numPr>
              <w:spacing w:before="60" w:after="60"/>
              <w:rPr>
                <w:sz w:val="22"/>
                <w:szCs w:val="22"/>
              </w:rPr>
            </w:pPr>
            <w:r w:rsidRPr="00BA0058">
              <w:rPr>
                <w:sz w:val="22"/>
                <w:szCs w:val="22"/>
              </w:rPr>
              <w:t>Packages may have specified activity limits or specified radioactive contents so deviating from these could significantly increase associated risk.</w:t>
            </w:r>
          </w:p>
          <w:p w14:paraId="32AFC7FD" w14:textId="43F05CFC" w:rsidR="004B68AC" w:rsidRPr="00BA0058" w:rsidRDefault="00970925" w:rsidP="00951121">
            <w:pPr>
              <w:pStyle w:val="ListParagraph"/>
              <w:numPr>
                <w:ilvl w:val="0"/>
                <w:numId w:val="25"/>
              </w:numPr>
              <w:spacing w:before="60" w:after="60"/>
              <w:rPr>
                <w:rFonts w:cs="Arial"/>
                <w:sz w:val="22"/>
                <w:szCs w:val="22"/>
              </w:rPr>
            </w:pPr>
            <w:r w:rsidRPr="00BA0058">
              <w:rPr>
                <w:sz w:val="22"/>
                <w:szCs w:val="22"/>
              </w:rPr>
              <w:t xml:space="preserve">Incorrectly </w:t>
            </w:r>
            <w:proofErr w:type="spellStart"/>
            <w:r w:rsidRPr="00BA0058">
              <w:rPr>
                <w:sz w:val="22"/>
                <w:szCs w:val="22"/>
              </w:rPr>
              <w:t>assessembled</w:t>
            </w:r>
            <w:proofErr w:type="spellEnd"/>
            <w:r w:rsidRPr="00BA0058">
              <w:rPr>
                <w:sz w:val="22"/>
                <w:szCs w:val="22"/>
              </w:rPr>
              <w:t xml:space="preserve"> or maintained p</w:t>
            </w:r>
            <w:r w:rsidR="0077637A" w:rsidRPr="00BA0058">
              <w:rPr>
                <w:sz w:val="22"/>
                <w:szCs w:val="22"/>
              </w:rPr>
              <w:t xml:space="preserve">ackages </w:t>
            </w:r>
            <w:r w:rsidR="00687C29" w:rsidRPr="00BA0058">
              <w:rPr>
                <w:sz w:val="22"/>
                <w:szCs w:val="22"/>
              </w:rPr>
              <w:t>could result in greater doses</w:t>
            </w:r>
            <w:r w:rsidR="00A03538" w:rsidRPr="00BA0058">
              <w:rPr>
                <w:sz w:val="22"/>
                <w:szCs w:val="22"/>
              </w:rPr>
              <w:t xml:space="preserve"> during routine tra</w:t>
            </w:r>
            <w:r w:rsidR="00F23B2A" w:rsidRPr="00BA0058">
              <w:rPr>
                <w:sz w:val="22"/>
                <w:szCs w:val="22"/>
              </w:rPr>
              <w:t>n</w:t>
            </w:r>
            <w:r w:rsidR="00A03538" w:rsidRPr="00BA0058">
              <w:rPr>
                <w:sz w:val="22"/>
                <w:szCs w:val="22"/>
              </w:rPr>
              <w:t>sport and emergency situations</w:t>
            </w:r>
            <w:r w:rsidR="00F23B2A" w:rsidRPr="00BA0058">
              <w:rPr>
                <w:sz w:val="22"/>
                <w:szCs w:val="22"/>
              </w:rPr>
              <w:t>.</w:t>
            </w:r>
          </w:p>
        </w:tc>
      </w:tr>
      <w:tr w:rsidR="004B68AC" w:rsidRPr="00EB324F" w14:paraId="204ECED8" w14:textId="77777777" w:rsidTr="00BA0058">
        <w:tc>
          <w:tcPr>
            <w:tcW w:w="469" w:type="pct"/>
            <w:shd w:val="clear" w:color="auto" w:fill="auto"/>
          </w:tcPr>
          <w:p w14:paraId="0EB98C01" w14:textId="0CEE5DEC" w:rsidR="004B68AC" w:rsidRPr="00BA0058" w:rsidRDefault="00FE1FEA" w:rsidP="00063CA8">
            <w:pPr>
              <w:spacing w:before="60" w:after="60"/>
              <w:rPr>
                <w:rFonts w:cs="Arial"/>
                <w:sz w:val="22"/>
                <w:szCs w:val="22"/>
              </w:rPr>
            </w:pPr>
            <w:r w:rsidRPr="00BA0058">
              <w:rPr>
                <w:rFonts w:cs="Arial"/>
                <w:sz w:val="22"/>
                <w:szCs w:val="22"/>
              </w:rPr>
              <w:t>(f)</w:t>
            </w:r>
          </w:p>
        </w:tc>
        <w:tc>
          <w:tcPr>
            <w:tcW w:w="1258" w:type="pct"/>
            <w:shd w:val="clear" w:color="auto" w:fill="auto"/>
          </w:tcPr>
          <w:p w14:paraId="7F3CB7C9" w14:textId="6E187ACC" w:rsidR="004B68AC" w:rsidRPr="00BA0058" w:rsidRDefault="00FE1FEA" w:rsidP="00063CA8">
            <w:pPr>
              <w:spacing w:before="60" w:after="60"/>
              <w:rPr>
                <w:rFonts w:cs="Arial"/>
                <w:sz w:val="22"/>
                <w:szCs w:val="22"/>
              </w:rPr>
            </w:pPr>
            <w:r w:rsidRPr="00BA0058">
              <w:rPr>
                <w:sz w:val="22"/>
                <w:szCs w:val="22"/>
              </w:rPr>
              <w:t>Engineering control measures and design features already in place or planned.</w:t>
            </w:r>
          </w:p>
        </w:tc>
        <w:tc>
          <w:tcPr>
            <w:tcW w:w="3273" w:type="pct"/>
          </w:tcPr>
          <w:p w14:paraId="5763876A" w14:textId="772C155F" w:rsidR="004B68AC" w:rsidRPr="00BA0058" w:rsidRDefault="00F23B2A" w:rsidP="00063CA8">
            <w:pPr>
              <w:spacing w:before="60" w:after="60"/>
              <w:rPr>
                <w:rFonts w:cs="Arial"/>
                <w:sz w:val="22"/>
                <w:szCs w:val="22"/>
              </w:rPr>
            </w:pPr>
            <w:r w:rsidRPr="00BA0058">
              <w:rPr>
                <w:sz w:val="22"/>
                <w:szCs w:val="22"/>
              </w:rPr>
              <w:t xml:space="preserve">Describe the </w:t>
            </w:r>
            <w:r w:rsidR="00D67F30" w:rsidRPr="00BA0058">
              <w:rPr>
                <w:sz w:val="22"/>
                <w:szCs w:val="22"/>
              </w:rPr>
              <w:t xml:space="preserve">engineering control measures and design features. </w:t>
            </w:r>
            <w:r w:rsidR="00FE1FEA" w:rsidRPr="00BA0058">
              <w:rPr>
                <w:sz w:val="22"/>
                <w:szCs w:val="22"/>
              </w:rPr>
              <w:t xml:space="preserve">These may be integral to the package, or could for example be integral to the vehicle </w:t>
            </w:r>
            <w:proofErr w:type="gramStart"/>
            <w:r w:rsidR="00FE1FEA" w:rsidRPr="00BA0058">
              <w:rPr>
                <w:sz w:val="22"/>
                <w:szCs w:val="22"/>
              </w:rPr>
              <w:t>i.e.</w:t>
            </w:r>
            <w:proofErr w:type="gramEnd"/>
            <w:r w:rsidR="00FE1FEA" w:rsidRPr="00BA0058">
              <w:rPr>
                <w:sz w:val="22"/>
                <w:szCs w:val="22"/>
              </w:rPr>
              <w:t xml:space="preserve"> shielding material installed at the bulkhead, separating the cargo area from the driver’s cab thereby reducing driver dose. In-transit storage locations may need particular engineering controls and design features </w:t>
            </w:r>
            <w:proofErr w:type="gramStart"/>
            <w:r w:rsidR="00FE1FEA" w:rsidRPr="00BA0058">
              <w:rPr>
                <w:sz w:val="22"/>
                <w:szCs w:val="22"/>
              </w:rPr>
              <w:t>i.e.</w:t>
            </w:r>
            <w:proofErr w:type="gramEnd"/>
            <w:r w:rsidR="00FE1FEA" w:rsidRPr="00BA0058">
              <w:rPr>
                <w:sz w:val="22"/>
                <w:szCs w:val="22"/>
              </w:rPr>
              <w:t xml:space="preserve"> dedicated, shielded, lockable store. [IRR17 Regulation 30 and supporting guidance is relevant here.]</w:t>
            </w:r>
          </w:p>
        </w:tc>
      </w:tr>
      <w:tr w:rsidR="004B68AC" w:rsidRPr="00EB324F" w14:paraId="0F8A8B06" w14:textId="77777777" w:rsidTr="00BA0058">
        <w:tc>
          <w:tcPr>
            <w:tcW w:w="469" w:type="pct"/>
            <w:shd w:val="clear" w:color="auto" w:fill="auto"/>
          </w:tcPr>
          <w:p w14:paraId="394DFE42" w14:textId="460AC630" w:rsidR="004B68AC" w:rsidRPr="00BA0058" w:rsidRDefault="00FE1FEA" w:rsidP="00063CA8">
            <w:pPr>
              <w:spacing w:before="60" w:after="60"/>
              <w:rPr>
                <w:rFonts w:cs="Arial"/>
                <w:sz w:val="22"/>
                <w:szCs w:val="22"/>
              </w:rPr>
            </w:pPr>
            <w:r w:rsidRPr="00BA0058">
              <w:rPr>
                <w:rFonts w:cs="Arial"/>
                <w:sz w:val="22"/>
                <w:szCs w:val="22"/>
              </w:rPr>
              <w:t>(g)</w:t>
            </w:r>
          </w:p>
        </w:tc>
        <w:tc>
          <w:tcPr>
            <w:tcW w:w="1258" w:type="pct"/>
            <w:shd w:val="clear" w:color="auto" w:fill="auto"/>
          </w:tcPr>
          <w:p w14:paraId="0020010C" w14:textId="2E0D9D27" w:rsidR="004B68AC" w:rsidRPr="00BA0058" w:rsidRDefault="00FE1FEA" w:rsidP="00063CA8">
            <w:pPr>
              <w:spacing w:before="60" w:after="60"/>
              <w:rPr>
                <w:rFonts w:cs="Arial"/>
                <w:sz w:val="22"/>
                <w:szCs w:val="22"/>
              </w:rPr>
            </w:pPr>
            <w:r w:rsidRPr="00BA0058">
              <w:rPr>
                <w:sz w:val="22"/>
                <w:szCs w:val="22"/>
              </w:rPr>
              <w:t>Any planned systems of work.</w:t>
            </w:r>
          </w:p>
        </w:tc>
        <w:tc>
          <w:tcPr>
            <w:tcW w:w="3273" w:type="pct"/>
          </w:tcPr>
          <w:p w14:paraId="43692189" w14:textId="674E3BDC" w:rsidR="002A4BFD" w:rsidRPr="00BA0058" w:rsidRDefault="00A700DD" w:rsidP="00464EB5">
            <w:pPr>
              <w:spacing w:before="60"/>
              <w:rPr>
                <w:sz w:val="22"/>
                <w:szCs w:val="22"/>
              </w:rPr>
            </w:pPr>
            <w:r w:rsidRPr="00BA0058">
              <w:rPr>
                <w:sz w:val="22"/>
                <w:szCs w:val="22"/>
              </w:rPr>
              <w:t xml:space="preserve">Describe systems of work </w:t>
            </w:r>
            <w:r w:rsidR="00464E94" w:rsidRPr="00BA0058">
              <w:rPr>
                <w:sz w:val="22"/>
                <w:szCs w:val="22"/>
              </w:rPr>
              <w:t>th</w:t>
            </w:r>
            <w:r w:rsidRPr="00BA0058">
              <w:rPr>
                <w:sz w:val="22"/>
                <w:szCs w:val="22"/>
              </w:rPr>
              <w:t xml:space="preserve">at are </w:t>
            </w:r>
            <w:r w:rsidR="00464E94" w:rsidRPr="00BA0058">
              <w:rPr>
                <w:sz w:val="22"/>
                <w:szCs w:val="22"/>
              </w:rPr>
              <w:t xml:space="preserve">in place to keep </w:t>
            </w:r>
            <w:r w:rsidR="009A7602" w:rsidRPr="00BA0058">
              <w:rPr>
                <w:sz w:val="22"/>
                <w:szCs w:val="22"/>
              </w:rPr>
              <w:t>whole body, hand, extremit</w:t>
            </w:r>
            <w:r w:rsidR="00A34AF8" w:rsidRPr="00BA0058">
              <w:rPr>
                <w:sz w:val="22"/>
                <w:szCs w:val="22"/>
              </w:rPr>
              <w:t>y</w:t>
            </w:r>
            <w:r w:rsidR="009A7602" w:rsidRPr="00BA0058">
              <w:rPr>
                <w:sz w:val="22"/>
                <w:szCs w:val="22"/>
              </w:rPr>
              <w:t xml:space="preserve">, eye etc </w:t>
            </w:r>
            <w:r w:rsidR="00464E94" w:rsidRPr="00BA0058">
              <w:rPr>
                <w:sz w:val="22"/>
                <w:szCs w:val="22"/>
              </w:rPr>
              <w:t xml:space="preserve">doses </w:t>
            </w:r>
            <w:r w:rsidR="00212C67" w:rsidRPr="00BA0058">
              <w:rPr>
                <w:sz w:val="22"/>
                <w:szCs w:val="22"/>
              </w:rPr>
              <w:t>A</w:t>
            </w:r>
            <w:r w:rsidR="00464E94" w:rsidRPr="00BA0058">
              <w:rPr>
                <w:sz w:val="22"/>
                <w:szCs w:val="22"/>
              </w:rPr>
              <w:t xml:space="preserve">s </w:t>
            </w:r>
            <w:r w:rsidR="00212C67" w:rsidRPr="00BA0058">
              <w:rPr>
                <w:sz w:val="22"/>
                <w:szCs w:val="22"/>
              </w:rPr>
              <w:t>L</w:t>
            </w:r>
            <w:r w:rsidR="00464E94" w:rsidRPr="00BA0058">
              <w:rPr>
                <w:sz w:val="22"/>
                <w:szCs w:val="22"/>
              </w:rPr>
              <w:t xml:space="preserve">ow </w:t>
            </w:r>
            <w:r w:rsidR="00212C67" w:rsidRPr="00BA0058">
              <w:rPr>
                <w:sz w:val="22"/>
                <w:szCs w:val="22"/>
              </w:rPr>
              <w:t>A</w:t>
            </w:r>
            <w:r w:rsidR="00464E94" w:rsidRPr="00BA0058">
              <w:rPr>
                <w:sz w:val="22"/>
                <w:szCs w:val="22"/>
              </w:rPr>
              <w:t xml:space="preserve">s </w:t>
            </w:r>
            <w:r w:rsidR="00212C67" w:rsidRPr="00BA0058">
              <w:rPr>
                <w:sz w:val="22"/>
                <w:szCs w:val="22"/>
              </w:rPr>
              <w:t>R</w:t>
            </w:r>
            <w:r w:rsidR="00464E94" w:rsidRPr="00BA0058">
              <w:rPr>
                <w:sz w:val="22"/>
                <w:szCs w:val="22"/>
              </w:rPr>
              <w:t>easonabl</w:t>
            </w:r>
            <w:r w:rsidR="002A4BFD" w:rsidRPr="00BA0058">
              <w:rPr>
                <w:sz w:val="22"/>
                <w:szCs w:val="22"/>
              </w:rPr>
              <w:t>y</w:t>
            </w:r>
            <w:r w:rsidR="00464E94" w:rsidRPr="00BA0058">
              <w:rPr>
                <w:sz w:val="22"/>
                <w:szCs w:val="22"/>
              </w:rPr>
              <w:t xml:space="preserve"> </w:t>
            </w:r>
            <w:r w:rsidR="00212C67" w:rsidRPr="00BA0058">
              <w:rPr>
                <w:sz w:val="22"/>
                <w:szCs w:val="22"/>
              </w:rPr>
              <w:t>P</w:t>
            </w:r>
            <w:r w:rsidR="00464E94" w:rsidRPr="00BA0058">
              <w:rPr>
                <w:sz w:val="22"/>
                <w:szCs w:val="22"/>
              </w:rPr>
              <w:t>racticable (ALARP</w:t>
            </w:r>
            <w:proofErr w:type="gramStart"/>
            <w:r w:rsidR="00464E94" w:rsidRPr="00BA0058">
              <w:rPr>
                <w:sz w:val="22"/>
                <w:szCs w:val="22"/>
              </w:rPr>
              <w:t>).</w:t>
            </w:r>
            <w:r w:rsidR="00464EB5" w:rsidRPr="00BA0058">
              <w:rPr>
                <w:sz w:val="22"/>
                <w:szCs w:val="22"/>
              </w:rPr>
              <w:t>This</w:t>
            </w:r>
            <w:proofErr w:type="gramEnd"/>
            <w:r w:rsidR="00464EB5" w:rsidRPr="00BA0058">
              <w:rPr>
                <w:sz w:val="22"/>
                <w:szCs w:val="22"/>
              </w:rPr>
              <w:t xml:space="preserve"> information is particularly useful in helping to ensure that all systems are in place at the right times and aiding future reviews of the RRA</w:t>
            </w:r>
            <w:r w:rsidR="00D32C93" w:rsidRPr="00BA0058">
              <w:rPr>
                <w:sz w:val="22"/>
                <w:szCs w:val="22"/>
              </w:rPr>
              <w:t xml:space="preserve"> (see para 2.14 below).</w:t>
            </w:r>
          </w:p>
          <w:p w14:paraId="3643BF83" w14:textId="489E68B4" w:rsidR="000A29A4" w:rsidRPr="00BA0058" w:rsidRDefault="00FE1FEA" w:rsidP="00464EB5">
            <w:pPr>
              <w:spacing w:before="60"/>
              <w:rPr>
                <w:sz w:val="22"/>
                <w:szCs w:val="22"/>
              </w:rPr>
            </w:pPr>
            <w:r w:rsidRPr="00BA0058">
              <w:rPr>
                <w:sz w:val="22"/>
                <w:szCs w:val="22"/>
              </w:rPr>
              <w:t xml:space="preserve">There are a range of potential systems of work associated with transport operations. For </w:t>
            </w:r>
            <w:proofErr w:type="gramStart"/>
            <w:r w:rsidRPr="00BA0058">
              <w:rPr>
                <w:sz w:val="22"/>
                <w:szCs w:val="22"/>
              </w:rPr>
              <w:t>example</w:t>
            </w:r>
            <w:proofErr w:type="gramEnd"/>
            <w:r w:rsidRPr="00BA0058">
              <w:rPr>
                <w:sz w:val="22"/>
                <w:szCs w:val="22"/>
              </w:rPr>
              <w:t xml:space="preserve"> during in-transit storage temporary barriers may be required to restrict access to an area where dose rates are elevated, or there may be a particular vehicle loading regime and particular sizes of vehicles required to keep vehicle crew dose ALARP. </w:t>
            </w:r>
          </w:p>
          <w:p w14:paraId="66D4DF61" w14:textId="51277D3A" w:rsidR="004B68AC" w:rsidRPr="00BA0058" w:rsidRDefault="00E84ACD" w:rsidP="00464EB5">
            <w:pPr>
              <w:spacing w:before="60"/>
              <w:rPr>
                <w:rFonts w:cs="Arial"/>
                <w:sz w:val="22"/>
                <w:szCs w:val="22"/>
              </w:rPr>
            </w:pPr>
            <w:r w:rsidRPr="00BA0058">
              <w:rPr>
                <w:sz w:val="22"/>
                <w:szCs w:val="22"/>
              </w:rPr>
              <w:t xml:space="preserve">Describe </w:t>
            </w:r>
            <w:r w:rsidR="00FE1FEA" w:rsidRPr="00BA0058">
              <w:rPr>
                <w:sz w:val="22"/>
                <w:szCs w:val="22"/>
              </w:rPr>
              <w:t xml:space="preserve">the impact in terms of radiation exposure if planned systems of work are inappropriate or not implemented correctly. For example: If a loading regime is not followed and radioactive material is placed </w:t>
            </w:r>
            <w:proofErr w:type="gramStart"/>
            <w:r w:rsidR="00FE1FEA" w:rsidRPr="00BA0058">
              <w:rPr>
                <w:sz w:val="22"/>
                <w:szCs w:val="22"/>
              </w:rPr>
              <w:t>in close proximity to</w:t>
            </w:r>
            <w:proofErr w:type="gramEnd"/>
            <w:r w:rsidR="00FE1FEA" w:rsidRPr="00BA0058">
              <w:rPr>
                <w:sz w:val="22"/>
                <w:szCs w:val="22"/>
              </w:rPr>
              <w:t xml:space="preserve"> the driver/vehicle crew, or if a smaller vehicle than usual is used, or if shielding afforded by other packages in the consignment isn’t available, is there a potential impact on doses received by the driver/vehicle crew? If temporary barriers are not used appropriately during in-transit storage, what is the potential impact on doses to employees working or other persons in the vicinity?</w:t>
            </w:r>
          </w:p>
        </w:tc>
      </w:tr>
      <w:tr w:rsidR="004B68AC" w:rsidRPr="00EB324F" w14:paraId="708AD9CA" w14:textId="77777777" w:rsidTr="00BA0058">
        <w:tc>
          <w:tcPr>
            <w:tcW w:w="469" w:type="pct"/>
            <w:shd w:val="clear" w:color="auto" w:fill="auto"/>
          </w:tcPr>
          <w:p w14:paraId="68DE98DF" w14:textId="384C261C" w:rsidR="004B68AC" w:rsidRPr="00BA0058" w:rsidRDefault="00FE1FEA" w:rsidP="00063CA8">
            <w:pPr>
              <w:spacing w:before="60" w:after="60"/>
              <w:rPr>
                <w:rFonts w:cs="Arial"/>
                <w:sz w:val="22"/>
                <w:szCs w:val="22"/>
              </w:rPr>
            </w:pPr>
            <w:r w:rsidRPr="00BA0058">
              <w:rPr>
                <w:rFonts w:cs="Arial"/>
                <w:sz w:val="22"/>
                <w:szCs w:val="22"/>
              </w:rPr>
              <w:t>(h)</w:t>
            </w:r>
          </w:p>
        </w:tc>
        <w:tc>
          <w:tcPr>
            <w:tcW w:w="1258" w:type="pct"/>
            <w:shd w:val="clear" w:color="auto" w:fill="auto"/>
          </w:tcPr>
          <w:p w14:paraId="3E9B853E" w14:textId="77607A86" w:rsidR="004B68AC" w:rsidRPr="00BA0058" w:rsidRDefault="00FE1FEA" w:rsidP="00063CA8">
            <w:pPr>
              <w:spacing w:before="60" w:after="60"/>
              <w:rPr>
                <w:rFonts w:cs="Arial"/>
                <w:sz w:val="22"/>
                <w:szCs w:val="22"/>
              </w:rPr>
            </w:pPr>
            <w:r w:rsidRPr="00BA0058">
              <w:rPr>
                <w:sz w:val="22"/>
                <w:szCs w:val="22"/>
              </w:rPr>
              <w:t>Estimated levels of airborne and surface contamination likely to be encountered.</w:t>
            </w:r>
          </w:p>
        </w:tc>
        <w:tc>
          <w:tcPr>
            <w:tcW w:w="3273" w:type="pct"/>
          </w:tcPr>
          <w:p w14:paraId="3FBD1EDD" w14:textId="6393B9F3" w:rsidR="00B302AB" w:rsidRPr="00BA0058" w:rsidRDefault="008C48EF" w:rsidP="00464EB5">
            <w:pPr>
              <w:spacing w:before="60"/>
              <w:rPr>
                <w:sz w:val="22"/>
                <w:szCs w:val="22"/>
              </w:rPr>
            </w:pPr>
            <w:r w:rsidRPr="00BA0058">
              <w:rPr>
                <w:sz w:val="22"/>
                <w:szCs w:val="22"/>
              </w:rPr>
              <w:t>Describe, f</w:t>
            </w:r>
            <w:r w:rsidR="00FE1FEA" w:rsidRPr="00BA0058">
              <w:rPr>
                <w:sz w:val="22"/>
                <w:szCs w:val="22"/>
              </w:rPr>
              <w:t xml:space="preserve">or normal transport operations, </w:t>
            </w:r>
            <w:r w:rsidRPr="00BA0058">
              <w:rPr>
                <w:sz w:val="22"/>
                <w:szCs w:val="22"/>
              </w:rPr>
              <w:t xml:space="preserve">how it is ensured that </w:t>
            </w:r>
            <w:r w:rsidR="00FE1FEA" w:rsidRPr="00BA0058">
              <w:rPr>
                <w:sz w:val="22"/>
                <w:szCs w:val="22"/>
              </w:rPr>
              <w:t xml:space="preserve">surface contamination levels fall within prescribed limits set out on modal legislation relating to transport i.e. </w:t>
            </w:r>
            <w:r w:rsidR="005253D2" w:rsidRPr="00BA0058">
              <w:rPr>
                <w:sz w:val="22"/>
                <w:szCs w:val="22"/>
              </w:rPr>
              <w:t>The Agreement concerning the International Carriage of Dangerous Goods by Road (</w:t>
            </w:r>
            <w:r w:rsidR="00FE1FEA" w:rsidRPr="00BA0058">
              <w:rPr>
                <w:sz w:val="22"/>
                <w:szCs w:val="22"/>
              </w:rPr>
              <w:t>ADR</w:t>
            </w:r>
            <w:r w:rsidR="005253D2" w:rsidRPr="00BA0058">
              <w:rPr>
                <w:sz w:val="22"/>
                <w:szCs w:val="22"/>
              </w:rPr>
              <w:t>)</w:t>
            </w:r>
            <w:r w:rsidR="00FE1FEA" w:rsidRPr="00BA0058">
              <w:rPr>
                <w:sz w:val="22"/>
                <w:szCs w:val="22"/>
              </w:rPr>
              <w:t xml:space="preserve">, </w:t>
            </w:r>
            <w:r w:rsidR="005253D2" w:rsidRPr="00BA0058">
              <w:rPr>
                <w:sz w:val="22"/>
                <w:szCs w:val="22"/>
              </w:rPr>
              <w:t>The Regulation concerning the International Carriage of Dangerous Goods by Rail (</w:t>
            </w:r>
            <w:r w:rsidR="00FE1FEA" w:rsidRPr="00BA0058">
              <w:rPr>
                <w:sz w:val="22"/>
                <w:szCs w:val="22"/>
              </w:rPr>
              <w:t>RID</w:t>
            </w:r>
            <w:r w:rsidR="005253D2" w:rsidRPr="00BA0058">
              <w:rPr>
                <w:sz w:val="22"/>
                <w:szCs w:val="22"/>
              </w:rPr>
              <w:t>)</w:t>
            </w:r>
            <w:r w:rsidR="00FE1FEA" w:rsidRPr="00BA0058">
              <w:rPr>
                <w:sz w:val="22"/>
                <w:szCs w:val="22"/>
              </w:rPr>
              <w:t xml:space="preserve"> etc.</w:t>
            </w:r>
            <w:sdt>
              <w:sdtPr>
                <w:rPr>
                  <w:sz w:val="22"/>
                  <w:szCs w:val="22"/>
                </w:rPr>
                <w:id w:val="-679653733"/>
                <w:citation/>
              </w:sdtPr>
              <w:sdtEndPr/>
              <w:sdtContent>
                <w:r w:rsidR="00126624" w:rsidRPr="00BA0058">
                  <w:rPr>
                    <w:sz w:val="22"/>
                    <w:szCs w:val="22"/>
                  </w:rPr>
                  <w:fldChar w:fldCharType="begin"/>
                </w:r>
                <w:r w:rsidR="003E3BAB" w:rsidRPr="00BA0058">
                  <w:rPr>
                    <w:sz w:val="22"/>
                    <w:szCs w:val="22"/>
                  </w:rPr>
                  <w:instrText xml:space="preserve">CITATION CDG09 \l 2057 </w:instrText>
                </w:r>
                <w:r w:rsidR="00126624" w:rsidRPr="00BA0058">
                  <w:rPr>
                    <w:sz w:val="22"/>
                    <w:szCs w:val="22"/>
                  </w:rPr>
                  <w:fldChar w:fldCharType="separate"/>
                </w:r>
                <w:r w:rsidR="00BA0058" w:rsidRPr="00BA0058">
                  <w:rPr>
                    <w:noProof/>
                    <w:sz w:val="22"/>
                    <w:szCs w:val="22"/>
                  </w:rPr>
                  <w:t xml:space="preserve"> [2]</w:t>
                </w:r>
                <w:r w:rsidR="00126624" w:rsidRPr="00BA0058">
                  <w:rPr>
                    <w:sz w:val="22"/>
                    <w:szCs w:val="22"/>
                  </w:rPr>
                  <w:fldChar w:fldCharType="end"/>
                </w:r>
              </w:sdtContent>
            </w:sdt>
            <w:r w:rsidR="00FE1FEA" w:rsidRPr="00BA0058">
              <w:rPr>
                <w:sz w:val="22"/>
                <w:szCs w:val="22"/>
              </w:rPr>
              <w:t xml:space="preserve">. </w:t>
            </w:r>
          </w:p>
          <w:p w14:paraId="7A4CF745" w14:textId="77777777" w:rsidR="00777DDB" w:rsidRPr="00BA0058" w:rsidRDefault="008E1A33" w:rsidP="00464EB5">
            <w:pPr>
              <w:spacing w:before="60"/>
              <w:rPr>
                <w:sz w:val="22"/>
                <w:szCs w:val="22"/>
              </w:rPr>
            </w:pPr>
            <w:r w:rsidRPr="00BA0058">
              <w:rPr>
                <w:sz w:val="22"/>
                <w:szCs w:val="22"/>
              </w:rPr>
              <w:t>Issues to consider include</w:t>
            </w:r>
            <w:r w:rsidR="00B3304C" w:rsidRPr="00BA0058">
              <w:rPr>
                <w:sz w:val="22"/>
                <w:szCs w:val="22"/>
              </w:rPr>
              <w:t xml:space="preserve">, but are not limited to, </w:t>
            </w:r>
            <w:r w:rsidR="00B302AB" w:rsidRPr="00BA0058">
              <w:rPr>
                <w:sz w:val="22"/>
                <w:szCs w:val="22"/>
              </w:rPr>
              <w:t>is it reasonable to assume a package will be relatively ‘clean’ considering the working environment it has been in? Does the consignor have robust contamination control procedures?</w:t>
            </w:r>
          </w:p>
          <w:p w14:paraId="6F537A61" w14:textId="4CD91F4B" w:rsidR="00FC03F3" w:rsidRPr="00BA0058" w:rsidRDefault="00FE1FEA" w:rsidP="00464EB5">
            <w:pPr>
              <w:spacing w:before="60"/>
              <w:rPr>
                <w:rFonts w:cs="Arial"/>
                <w:sz w:val="22"/>
                <w:szCs w:val="22"/>
              </w:rPr>
            </w:pPr>
            <w:r w:rsidRPr="00BA0058">
              <w:rPr>
                <w:sz w:val="22"/>
                <w:szCs w:val="22"/>
              </w:rPr>
              <w:t xml:space="preserve">Assuming </w:t>
            </w:r>
            <w:r w:rsidR="00777DDB" w:rsidRPr="00BA0058">
              <w:rPr>
                <w:sz w:val="22"/>
                <w:szCs w:val="22"/>
              </w:rPr>
              <w:t xml:space="preserve">surface contamination levels fall within prescribed limits set out on modal legislation relating to </w:t>
            </w:r>
            <w:proofErr w:type="gramStart"/>
            <w:r w:rsidR="00777DDB" w:rsidRPr="00BA0058">
              <w:rPr>
                <w:sz w:val="22"/>
                <w:szCs w:val="22"/>
              </w:rPr>
              <w:t xml:space="preserve">transport </w:t>
            </w:r>
            <w:r w:rsidRPr="00BA0058">
              <w:rPr>
                <w:sz w:val="22"/>
                <w:szCs w:val="22"/>
              </w:rPr>
              <w:t>,</w:t>
            </w:r>
            <w:proofErr w:type="gramEnd"/>
            <w:r w:rsidRPr="00BA0058">
              <w:rPr>
                <w:sz w:val="22"/>
                <w:szCs w:val="22"/>
              </w:rPr>
              <w:t xml:space="preserve"> </w:t>
            </w:r>
            <w:r w:rsidR="00875DC7" w:rsidRPr="00BA0058">
              <w:rPr>
                <w:sz w:val="22"/>
                <w:szCs w:val="22"/>
              </w:rPr>
              <w:t xml:space="preserve">the </w:t>
            </w:r>
            <w:r w:rsidRPr="00BA0058">
              <w:rPr>
                <w:sz w:val="22"/>
                <w:szCs w:val="22"/>
              </w:rPr>
              <w:t xml:space="preserve">risk should be low. </w:t>
            </w:r>
          </w:p>
        </w:tc>
      </w:tr>
      <w:tr w:rsidR="004B68AC" w:rsidRPr="00EB324F" w14:paraId="10B3F32C" w14:textId="77777777" w:rsidTr="00BA0058">
        <w:tc>
          <w:tcPr>
            <w:tcW w:w="469" w:type="pct"/>
            <w:shd w:val="clear" w:color="auto" w:fill="auto"/>
          </w:tcPr>
          <w:p w14:paraId="7E5C24EC" w14:textId="02B3569D" w:rsidR="004B68AC" w:rsidRPr="00BA0058" w:rsidRDefault="00FE1FEA" w:rsidP="00063CA8">
            <w:pPr>
              <w:spacing w:before="60" w:after="60"/>
              <w:rPr>
                <w:rFonts w:cs="Arial"/>
                <w:sz w:val="22"/>
                <w:szCs w:val="22"/>
              </w:rPr>
            </w:pPr>
            <w:r w:rsidRPr="00BA0058">
              <w:rPr>
                <w:rFonts w:cs="Arial"/>
                <w:sz w:val="22"/>
                <w:szCs w:val="22"/>
              </w:rPr>
              <w:t>(</w:t>
            </w:r>
            <w:proofErr w:type="spellStart"/>
            <w:r w:rsidRPr="00BA0058">
              <w:rPr>
                <w:rFonts w:cs="Arial"/>
                <w:sz w:val="22"/>
                <w:szCs w:val="22"/>
              </w:rPr>
              <w:t>i</w:t>
            </w:r>
            <w:proofErr w:type="spellEnd"/>
            <w:r w:rsidRPr="00BA0058">
              <w:rPr>
                <w:rFonts w:cs="Arial"/>
                <w:sz w:val="22"/>
                <w:szCs w:val="22"/>
              </w:rPr>
              <w:t>)</w:t>
            </w:r>
          </w:p>
        </w:tc>
        <w:tc>
          <w:tcPr>
            <w:tcW w:w="1258" w:type="pct"/>
            <w:shd w:val="clear" w:color="auto" w:fill="auto"/>
          </w:tcPr>
          <w:p w14:paraId="30018040" w14:textId="15EFFDE7" w:rsidR="004B68AC" w:rsidRPr="00BA0058" w:rsidRDefault="00FE1FEA" w:rsidP="00063CA8">
            <w:pPr>
              <w:spacing w:before="60" w:after="60"/>
              <w:rPr>
                <w:rFonts w:cs="Arial"/>
                <w:sz w:val="22"/>
                <w:szCs w:val="22"/>
              </w:rPr>
            </w:pPr>
            <w:r w:rsidRPr="00BA0058">
              <w:rPr>
                <w:sz w:val="22"/>
                <w:szCs w:val="22"/>
              </w:rPr>
              <w:t>The effectiveness and suitability of PPE to be provided.</w:t>
            </w:r>
          </w:p>
        </w:tc>
        <w:tc>
          <w:tcPr>
            <w:tcW w:w="3273" w:type="pct"/>
          </w:tcPr>
          <w:p w14:paraId="51B4022C" w14:textId="40924C00" w:rsidR="00B549B2" w:rsidRPr="00BA0058" w:rsidRDefault="00291AE5" w:rsidP="00464EB5">
            <w:pPr>
              <w:spacing w:before="60"/>
              <w:rPr>
                <w:sz w:val="22"/>
                <w:szCs w:val="22"/>
              </w:rPr>
            </w:pPr>
            <w:r w:rsidRPr="00BA0058">
              <w:rPr>
                <w:sz w:val="22"/>
                <w:szCs w:val="22"/>
              </w:rPr>
              <w:t xml:space="preserve">Describe the </w:t>
            </w:r>
            <w:r w:rsidR="00212C67" w:rsidRPr="00BA0058">
              <w:rPr>
                <w:sz w:val="22"/>
                <w:szCs w:val="22"/>
              </w:rPr>
              <w:t xml:space="preserve">Personal </w:t>
            </w:r>
            <w:r w:rsidRPr="00BA0058">
              <w:rPr>
                <w:sz w:val="22"/>
                <w:szCs w:val="22"/>
              </w:rPr>
              <w:t>P</w:t>
            </w:r>
            <w:r w:rsidR="00212C67" w:rsidRPr="00BA0058">
              <w:rPr>
                <w:sz w:val="22"/>
                <w:szCs w:val="22"/>
              </w:rPr>
              <w:t xml:space="preserve">rotective </w:t>
            </w:r>
            <w:r w:rsidRPr="00BA0058">
              <w:rPr>
                <w:sz w:val="22"/>
                <w:szCs w:val="22"/>
              </w:rPr>
              <w:t>E</w:t>
            </w:r>
            <w:r w:rsidR="00212C67" w:rsidRPr="00BA0058">
              <w:rPr>
                <w:sz w:val="22"/>
                <w:szCs w:val="22"/>
              </w:rPr>
              <w:t>quipment (PPE)</w:t>
            </w:r>
            <w:r w:rsidRPr="00BA0058">
              <w:rPr>
                <w:sz w:val="22"/>
                <w:szCs w:val="22"/>
              </w:rPr>
              <w:t xml:space="preserve"> to be provided</w:t>
            </w:r>
            <w:r w:rsidR="00B549B2" w:rsidRPr="00BA0058">
              <w:rPr>
                <w:sz w:val="22"/>
                <w:szCs w:val="22"/>
              </w:rPr>
              <w:t xml:space="preserve"> and the reasons for its provision. </w:t>
            </w:r>
          </w:p>
          <w:p w14:paraId="44A1DD4F" w14:textId="477A67FA" w:rsidR="004B68AC" w:rsidRPr="00BA0058" w:rsidRDefault="00FE1FEA" w:rsidP="00464EB5">
            <w:pPr>
              <w:spacing w:before="60"/>
              <w:rPr>
                <w:rFonts w:cs="Arial"/>
                <w:sz w:val="22"/>
                <w:szCs w:val="22"/>
              </w:rPr>
            </w:pPr>
            <w:r w:rsidRPr="00BA0058">
              <w:rPr>
                <w:sz w:val="22"/>
                <w:szCs w:val="22"/>
              </w:rPr>
              <w:t xml:space="preserve">There are limited practical </w:t>
            </w:r>
            <w:r w:rsidR="00212C67" w:rsidRPr="00BA0058">
              <w:rPr>
                <w:sz w:val="22"/>
                <w:szCs w:val="22"/>
              </w:rPr>
              <w:t xml:space="preserve">PPE </w:t>
            </w:r>
            <w:r w:rsidRPr="00BA0058">
              <w:rPr>
                <w:sz w:val="22"/>
                <w:szCs w:val="22"/>
              </w:rPr>
              <w:t xml:space="preserve">options where radioactive material is being transported, and there are none which impact to any significant extent on external exposure arising during transport where gamma radiation is typically encountered. General items such as gloves and protective eyewear are typically available where unsealed material is being prepared for transport, and during carriage. Although, they are not designed to offer </w:t>
            </w:r>
            <w:proofErr w:type="gramStart"/>
            <w:r w:rsidRPr="00BA0058">
              <w:rPr>
                <w:sz w:val="22"/>
                <w:szCs w:val="22"/>
              </w:rPr>
              <w:t>particular protection</w:t>
            </w:r>
            <w:proofErr w:type="gramEnd"/>
            <w:r w:rsidRPr="00BA0058">
              <w:rPr>
                <w:sz w:val="22"/>
                <w:szCs w:val="22"/>
              </w:rPr>
              <w:t xml:space="preserve"> from exposure to radiation, they are likely to offer some limited protection from contamination in the event of a loss of containment.</w:t>
            </w:r>
          </w:p>
        </w:tc>
      </w:tr>
      <w:tr w:rsidR="004B68AC" w:rsidRPr="00EB324F" w14:paraId="3580D143" w14:textId="77777777" w:rsidTr="00BA0058">
        <w:tc>
          <w:tcPr>
            <w:tcW w:w="469" w:type="pct"/>
            <w:shd w:val="clear" w:color="auto" w:fill="auto"/>
          </w:tcPr>
          <w:p w14:paraId="5F820BFF" w14:textId="5D77148D" w:rsidR="004B68AC" w:rsidRPr="00BA0058" w:rsidRDefault="00FE1FEA" w:rsidP="00063CA8">
            <w:pPr>
              <w:spacing w:before="60" w:after="60"/>
              <w:rPr>
                <w:rFonts w:cs="Arial"/>
                <w:sz w:val="22"/>
                <w:szCs w:val="22"/>
              </w:rPr>
            </w:pPr>
            <w:r w:rsidRPr="00BA0058">
              <w:rPr>
                <w:rFonts w:cs="Arial"/>
                <w:sz w:val="22"/>
                <w:szCs w:val="22"/>
              </w:rPr>
              <w:t>(j)</w:t>
            </w:r>
          </w:p>
        </w:tc>
        <w:tc>
          <w:tcPr>
            <w:tcW w:w="1258" w:type="pct"/>
            <w:shd w:val="clear" w:color="auto" w:fill="auto"/>
          </w:tcPr>
          <w:p w14:paraId="1B131AB8" w14:textId="432A3D47" w:rsidR="004B68AC" w:rsidRPr="00BA0058" w:rsidRDefault="00FE1FEA" w:rsidP="00063CA8">
            <w:pPr>
              <w:spacing w:before="60" w:after="60"/>
              <w:rPr>
                <w:rFonts w:cs="Arial"/>
                <w:sz w:val="22"/>
                <w:szCs w:val="22"/>
              </w:rPr>
            </w:pPr>
            <w:r w:rsidRPr="00BA0058">
              <w:rPr>
                <w:sz w:val="22"/>
                <w:szCs w:val="22"/>
              </w:rPr>
              <w:t>The extent of unrestricted access to working areas where dose rates or contamination levels are likely to be significant.</w:t>
            </w:r>
          </w:p>
        </w:tc>
        <w:tc>
          <w:tcPr>
            <w:tcW w:w="3273" w:type="pct"/>
          </w:tcPr>
          <w:p w14:paraId="273D97EA" w14:textId="07E4264A" w:rsidR="00513601" w:rsidRPr="00BA0058" w:rsidRDefault="001720D8" w:rsidP="00464EB5">
            <w:pPr>
              <w:spacing w:before="60"/>
              <w:rPr>
                <w:sz w:val="22"/>
                <w:szCs w:val="22"/>
              </w:rPr>
            </w:pPr>
            <w:r w:rsidRPr="00BA0058">
              <w:rPr>
                <w:sz w:val="22"/>
                <w:szCs w:val="22"/>
              </w:rPr>
              <w:t xml:space="preserve">Summarise the scenarios that could </w:t>
            </w:r>
            <w:r w:rsidR="00D80B3C" w:rsidRPr="00BA0058">
              <w:rPr>
                <w:sz w:val="22"/>
                <w:szCs w:val="22"/>
              </w:rPr>
              <w:t xml:space="preserve">result </w:t>
            </w:r>
            <w:r w:rsidRPr="00BA0058">
              <w:rPr>
                <w:sz w:val="22"/>
                <w:szCs w:val="22"/>
              </w:rPr>
              <w:t>in unrestricted access to working areas where dose rates or contamination levels are likely to be significant</w:t>
            </w:r>
            <w:r w:rsidR="00D80B3C" w:rsidRPr="00BA0058">
              <w:rPr>
                <w:sz w:val="22"/>
                <w:szCs w:val="22"/>
              </w:rPr>
              <w:t>.</w:t>
            </w:r>
          </w:p>
          <w:p w14:paraId="75D3FFA3" w14:textId="77777777" w:rsidR="00D80B3C" w:rsidRPr="00BA0058" w:rsidRDefault="00FE1FEA" w:rsidP="00464EB5">
            <w:pPr>
              <w:spacing w:before="60"/>
              <w:rPr>
                <w:sz w:val="22"/>
                <w:szCs w:val="22"/>
              </w:rPr>
            </w:pPr>
            <w:r w:rsidRPr="00BA0058">
              <w:rPr>
                <w:sz w:val="22"/>
                <w:szCs w:val="22"/>
              </w:rPr>
              <w:t xml:space="preserve">Knowledge of dose rates from packages, consignments and from the surface of the vehicle can be used to assess the impact on members of the public in the event of a reasonably foreseeable event such as vehicle breakdown/accident on roads where pedestrians/other drivers are </w:t>
            </w:r>
            <w:proofErr w:type="gramStart"/>
            <w:r w:rsidRPr="00BA0058">
              <w:rPr>
                <w:sz w:val="22"/>
                <w:szCs w:val="22"/>
              </w:rPr>
              <w:t>in close proximity to</w:t>
            </w:r>
            <w:proofErr w:type="gramEnd"/>
            <w:r w:rsidRPr="00BA0058">
              <w:rPr>
                <w:sz w:val="22"/>
                <w:szCs w:val="22"/>
              </w:rPr>
              <w:t xml:space="preserve"> the vehicle or where packages are ejected from the vehicle. </w:t>
            </w:r>
          </w:p>
          <w:p w14:paraId="4A32B1BA" w14:textId="77777777" w:rsidR="00D80B3C" w:rsidRPr="00BA0058" w:rsidRDefault="00FE1FEA" w:rsidP="00464EB5">
            <w:pPr>
              <w:spacing w:before="60"/>
              <w:rPr>
                <w:sz w:val="22"/>
                <w:szCs w:val="22"/>
              </w:rPr>
            </w:pPr>
            <w:r w:rsidRPr="00BA0058">
              <w:rPr>
                <w:sz w:val="22"/>
                <w:szCs w:val="22"/>
              </w:rPr>
              <w:t xml:space="preserve">Knowledge of maximum likely dose rates from temporary or dedicated storage areas can be used to assess the impact on workers and members of the public in the vicinity. </w:t>
            </w:r>
          </w:p>
          <w:p w14:paraId="46F4B998" w14:textId="48374C2B" w:rsidR="009C208C" w:rsidRPr="00BA0058" w:rsidRDefault="00FE1FEA" w:rsidP="00BA0058">
            <w:pPr>
              <w:spacing w:before="60"/>
              <w:rPr>
                <w:rFonts w:cs="Arial"/>
                <w:sz w:val="22"/>
                <w:szCs w:val="22"/>
              </w:rPr>
            </w:pPr>
            <w:r w:rsidRPr="00BA0058">
              <w:rPr>
                <w:sz w:val="22"/>
                <w:szCs w:val="22"/>
              </w:rPr>
              <w:t>Contamination levels are unlikely to be significant in normal operations, however in accident situations they could be very significant.</w:t>
            </w:r>
          </w:p>
        </w:tc>
      </w:tr>
      <w:tr w:rsidR="004B68AC" w:rsidRPr="00EB324F" w14:paraId="2A25228F" w14:textId="77777777" w:rsidTr="00BA0058">
        <w:tc>
          <w:tcPr>
            <w:tcW w:w="469" w:type="pct"/>
            <w:shd w:val="clear" w:color="auto" w:fill="auto"/>
          </w:tcPr>
          <w:p w14:paraId="2DCD4254" w14:textId="52D2CF8D" w:rsidR="004B68AC" w:rsidRPr="00BA0058" w:rsidRDefault="00FE1FEA" w:rsidP="00063CA8">
            <w:pPr>
              <w:spacing w:before="60" w:after="60"/>
              <w:rPr>
                <w:rFonts w:cs="Arial"/>
                <w:sz w:val="22"/>
                <w:szCs w:val="22"/>
              </w:rPr>
            </w:pPr>
            <w:r w:rsidRPr="00BA0058">
              <w:rPr>
                <w:rFonts w:cs="Arial"/>
                <w:sz w:val="22"/>
                <w:szCs w:val="22"/>
              </w:rPr>
              <w:t>(k)</w:t>
            </w:r>
          </w:p>
        </w:tc>
        <w:tc>
          <w:tcPr>
            <w:tcW w:w="1258" w:type="pct"/>
            <w:shd w:val="clear" w:color="auto" w:fill="auto"/>
          </w:tcPr>
          <w:p w14:paraId="36766AE1" w14:textId="3A41AF05" w:rsidR="004B68AC" w:rsidRPr="00BA0058" w:rsidRDefault="00FE1FEA" w:rsidP="00063CA8">
            <w:pPr>
              <w:spacing w:before="60" w:after="60"/>
              <w:rPr>
                <w:rFonts w:cs="Arial"/>
                <w:sz w:val="22"/>
                <w:szCs w:val="22"/>
              </w:rPr>
            </w:pPr>
            <w:r w:rsidRPr="00BA0058">
              <w:rPr>
                <w:sz w:val="22"/>
                <w:szCs w:val="22"/>
              </w:rPr>
              <w:t>Possible accident situations, their likelihood and potential severity.</w:t>
            </w:r>
          </w:p>
        </w:tc>
        <w:tc>
          <w:tcPr>
            <w:tcW w:w="3273" w:type="pct"/>
          </w:tcPr>
          <w:p w14:paraId="5718BDC1" w14:textId="5D32BBD0" w:rsidR="00A973B1" w:rsidRPr="00BA0058" w:rsidRDefault="00A973B1" w:rsidP="00464EB5">
            <w:pPr>
              <w:spacing w:before="60"/>
              <w:rPr>
                <w:sz w:val="22"/>
                <w:szCs w:val="22"/>
              </w:rPr>
            </w:pPr>
            <w:r w:rsidRPr="00BA0058">
              <w:rPr>
                <w:sz w:val="22"/>
                <w:szCs w:val="22"/>
              </w:rPr>
              <w:t>Identify all reasonably foreseeable accidents. This means accidents that are less than likely, but</w:t>
            </w:r>
            <w:r w:rsidR="00C95F35" w:rsidRPr="00BA0058">
              <w:rPr>
                <w:sz w:val="22"/>
                <w:szCs w:val="22"/>
              </w:rPr>
              <w:t xml:space="preserve"> </w:t>
            </w:r>
            <w:r w:rsidRPr="00BA0058">
              <w:rPr>
                <w:sz w:val="22"/>
                <w:szCs w:val="22"/>
              </w:rPr>
              <w:t>realistically possible.</w:t>
            </w:r>
            <w:r w:rsidR="00521EA3" w:rsidRPr="00BA0058">
              <w:rPr>
                <w:sz w:val="22"/>
                <w:szCs w:val="22"/>
              </w:rPr>
              <w:t xml:space="preserve"> </w:t>
            </w:r>
          </w:p>
          <w:p w14:paraId="6C3EEB3A" w14:textId="4EA4A8AD" w:rsidR="00302872" w:rsidRDefault="00247FB4" w:rsidP="00464EB5">
            <w:pPr>
              <w:spacing w:before="60"/>
              <w:rPr>
                <w:sz w:val="22"/>
                <w:szCs w:val="22"/>
              </w:rPr>
            </w:pPr>
            <w:r w:rsidRPr="00BA0058">
              <w:rPr>
                <w:sz w:val="22"/>
                <w:szCs w:val="22"/>
              </w:rPr>
              <w:t xml:space="preserve">Assess </w:t>
            </w:r>
            <w:r w:rsidR="00A0553C" w:rsidRPr="00BA0058">
              <w:rPr>
                <w:sz w:val="22"/>
                <w:szCs w:val="22"/>
              </w:rPr>
              <w:t xml:space="preserve">accident doses </w:t>
            </w:r>
            <w:r w:rsidR="00027018" w:rsidRPr="00BA0058">
              <w:rPr>
                <w:sz w:val="22"/>
                <w:szCs w:val="22"/>
              </w:rPr>
              <w:t>for the full range of potential accident scenarios identified</w:t>
            </w:r>
            <w:r w:rsidR="00DA480E" w:rsidRPr="00BA0058">
              <w:rPr>
                <w:sz w:val="22"/>
                <w:szCs w:val="22"/>
              </w:rPr>
              <w:t xml:space="preserve"> and make a clear conclusion whether a radiation emergency is possible</w:t>
            </w:r>
            <w:r w:rsidR="002F06D2" w:rsidRPr="00BA0058">
              <w:rPr>
                <w:rStyle w:val="FootnoteReference"/>
                <w:sz w:val="22"/>
                <w:szCs w:val="22"/>
              </w:rPr>
              <w:footnoteReference w:id="2"/>
            </w:r>
            <w:r w:rsidR="00DA480E" w:rsidRPr="00BA0058">
              <w:rPr>
                <w:sz w:val="22"/>
                <w:szCs w:val="22"/>
              </w:rPr>
              <w:t>.</w:t>
            </w:r>
            <w:r w:rsidR="00D6020A">
              <w:rPr>
                <w:sz w:val="22"/>
                <w:szCs w:val="22"/>
              </w:rPr>
              <w:t xml:space="preserve"> </w:t>
            </w:r>
            <w:r w:rsidR="00302872" w:rsidRPr="00302872">
              <w:rPr>
                <w:sz w:val="22"/>
                <w:szCs w:val="22"/>
              </w:rPr>
              <w:t xml:space="preserve">Since transport emergency </w:t>
            </w:r>
            <w:r w:rsidR="006A17E4">
              <w:rPr>
                <w:sz w:val="22"/>
                <w:szCs w:val="22"/>
              </w:rPr>
              <w:t xml:space="preserve">arrangements </w:t>
            </w:r>
            <w:r w:rsidR="00302872" w:rsidRPr="00302872">
              <w:rPr>
                <w:sz w:val="22"/>
                <w:szCs w:val="22"/>
              </w:rPr>
              <w:t>obviously include package retrieval and where appropriate decontamination, ONR considers these activities to be part of the emergency until a stable state is achieved. Therefore, accident dose estimation should include doses that could reasonably be expected to be accrued during retrieval and decontamination until the radioactive material is contained in a safe location</w:t>
            </w:r>
            <w:r w:rsidR="00605713">
              <w:rPr>
                <w:sz w:val="22"/>
                <w:szCs w:val="22"/>
              </w:rPr>
              <w:t xml:space="preserve"> </w:t>
            </w:r>
            <w:r w:rsidR="00302872" w:rsidRPr="00302872">
              <w:rPr>
                <w:sz w:val="22"/>
                <w:szCs w:val="22"/>
              </w:rPr>
              <w:t xml:space="preserve">or able to be </w:t>
            </w:r>
            <w:proofErr w:type="spellStart"/>
            <w:r w:rsidR="00302872" w:rsidRPr="00302872">
              <w:rPr>
                <w:sz w:val="22"/>
                <w:szCs w:val="22"/>
              </w:rPr>
              <w:t>onwardly</w:t>
            </w:r>
            <w:proofErr w:type="spellEnd"/>
            <w:r w:rsidR="00302872" w:rsidRPr="00302872">
              <w:rPr>
                <w:sz w:val="22"/>
                <w:szCs w:val="22"/>
              </w:rPr>
              <w:t xml:space="preserve"> transported in accordance with CDG09.</w:t>
            </w:r>
          </w:p>
          <w:p w14:paraId="3CD2A8DC" w14:textId="5B1A43AC" w:rsidR="001B12F1" w:rsidRPr="00BA0058" w:rsidRDefault="001B12F1" w:rsidP="00464EB5">
            <w:pPr>
              <w:spacing w:before="60"/>
              <w:rPr>
                <w:sz w:val="22"/>
                <w:szCs w:val="22"/>
              </w:rPr>
            </w:pPr>
            <w:r w:rsidRPr="00BA0058">
              <w:rPr>
                <w:sz w:val="22"/>
                <w:szCs w:val="22"/>
              </w:rPr>
              <w:t>Include a clear statement regarding the</w:t>
            </w:r>
            <w:r w:rsidR="008B7D97" w:rsidRPr="00BA0058">
              <w:rPr>
                <w:sz w:val="22"/>
                <w:szCs w:val="22"/>
              </w:rPr>
              <w:t xml:space="preserve"> emergency arrangements</w:t>
            </w:r>
            <w:r w:rsidR="00DC3F3E" w:rsidRPr="00BA0058">
              <w:rPr>
                <w:sz w:val="22"/>
                <w:szCs w:val="22"/>
              </w:rPr>
              <w:t xml:space="preserve"> required to be produced</w:t>
            </w:r>
            <w:r w:rsidR="008B7D97" w:rsidRPr="00BA0058">
              <w:rPr>
                <w:rStyle w:val="FootnoteReference"/>
                <w:sz w:val="22"/>
                <w:szCs w:val="22"/>
              </w:rPr>
              <w:footnoteReference w:id="3"/>
            </w:r>
            <w:r w:rsidR="008B7D97" w:rsidRPr="00BA0058">
              <w:rPr>
                <w:sz w:val="22"/>
                <w:szCs w:val="22"/>
              </w:rPr>
              <w:t>.</w:t>
            </w:r>
          </w:p>
          <w:p w14:paraId="4C74C152" w14:textId="1A6AEB51" w:rsidR="00FE1FEA" w:rsidRPr="00BA0058" w:rsidRDefault="00FE1FEA" w:rsidP="00464EB5">
            <w:pPr>
              <w:spacing w:before="60"/>
              <w:rPr>
                <w:sz w:val="22"/>
                <w:szCs w:val="22"/>
              </w:rPr>
            </w:pPr>
            <w:r w:rsidRPr="00BA0058">
              <w:rPr>
                <w:sz w:val="22"/>
                <w:szCs w:val="22"/>
              </w:rPr>
              <w:t xml:space="preserve">In relation to transport, possible accident situations may include: </w:t>
            </w:r>
          </w:p>
          <w:p w14:paraId="6A223551" w14:textId="528462BB" w:rsidR="00FE1FEA" w:rsidRPr="00BA0058" w:rsidRDefault="00FE1FEA" w:rsidP="00BA0058">
            <w:pPr>
              <w:pStyle w:val="BulletPoint"/>
              <w:ind w:left="597" w:hanging="277"/>
              <w:rPr>
                <w:sz w:val="22"/>
                <w:szCs w:val="22"/>
              </w:rPr>
            </w:pPr>
            <w:r w:rsidRPr="00BA0058">
              <w:rPr>
                <w:sz w:val="22"/>
                <w:szCs w:val="22"/>
              </w:rPr>
              <w:t>Damage to Class 7 consignment</w:t>
            </w:r>
            <w:r w:rsidR="00164BD8" w:rsidRPr="00BA0058">
              <w:rPr>
                <w:sz w:val="22"/>
                <w:szCs w:val="22"/>
              </w:rPr>
              <w:t>s</w:t>
            </w:r>
            <w:r w:rsidRPr="00BA0058">
              <w:rPr>
                <w:sz w:val="22"/>
                <w:szCs w:val="22"/>
              </w:rPr>
              <w:t xml:space="preserve"> arising from vehicle fire, collision, adverse road conditions</w:t>
            </w:r>
            <w:r w:rsidR="00A952CD" w:rsidRPr="00BA0058">
              <w:rPr>
                <w:sz w:val="22"/>
                <w:szCs w:val="22"/>
              </w:rPr>
              <w:t>.</w:t>
            </w:r>
            <w:r w:rsidRPr="00BA0058">
              <w:rPr>
                <w:sz w:val="22"/>
                <w:szCs w:val="22"/>
              </w:rPr>
              <w:t xml:space="preserve"> </w:t>
            </w:r>
          </w:p>
          <w:p w14:paraId="4FA623F6" w14:textId="50F71437" w:rsidR="00FE1FEA" w:rsidRPr="00BA0058" w:rsidRDefault="00FE1FEA" w:rsidP="00BA0058">
            <w:pPr>
              <w:pStyle w:val="BulletPoint"/>
              <w:ind w:left="597" w:hanging="277"/>
              <w:rPr>
                <w:sz w:val="22"/>
                <w:szCs w:val="22"/>
              </w:rPr>
            </w:pPr>
            <w:r w:rsidRPr="00BA0058">
              <w:rPr>
                <w:sz w:val="22"/>
                <w:szCs w:val="22"/>
              </w:rPr>
              <w:t>Dropped</w:t>
            </w:r>
            <w:r w:rsidR="006F54F8" w:rsidRPr="00BA0058">
              <w:rPr>
                <w:sz w:val="22"/>
                <w:szCs w:val="22"/>
              </w:rPr>
              <w:t xml:space="preserve">, </w:t>
            </w:r>
            <w:proofErr w:type="gramStart"/>
            <w:r w:rsidR="006F54F8" w:rsidRPr="00BA0058">
              <w:rPr>
                <w:sz w:val="22"/>
                <w:szCs w:val="22"/>
              </w:rPr>
              <w:t>crushed</w:t>
            </w:r>
            <w:proofErr w:type="gramEnd"/>
            <w:r w:rsidR="006F54F8" w:rsidRPr="00BA0058">
              <w:rPr>
                <w:sz w:val="22"/>
                <w:szCs w:val="22"/>
              </w:rPr>
              <w:t xml:space="preserve"> or damaged </w:t>
            </w:r>
            <w:r w:rsidR="00D37E97" w:rsidRPr="00BA0058">
              <w:rPr>
                <w:sz w:val="22"/>
                <w:szCs w:val="22"/>
              </w:rPr>
              <w:t>package</w:t>
            </w:r>
            <w:r w:rsidR="00164BD8" w:rsidRPr="00BA0058">
              <w:rPr>
                <w:sz w:val="22"/>
                <w:szCs w:val="22"/>
              </w:rPr>
              <w:t>/</w:t>
            </w:r>
            <w:r w:rsidR="00DB77E4" w:rsidRPr="00BA0058">
              <w:rPr>
                <w:sz w:val="22"/>
                <w:szCs w:val="22"/>
              </w:rPr>
              <w:t>s</w:t>
            </w:r>
            <w:r w:rsidR="00A952CD" w:rsidRPr="00BA0058">
              <w:rPr>
                <w:sz w:val="22"/>
                <w:szCs w:val="22"/>
              </w:rPr>
              <w:t>.</w:t>
            </w:r>
          </w:p>
          <w:p w14:paraId="2C854E31" w14:textId="16A936DE" w:rsidR="00FE1FEA" w:rsidRPr="00BA0058" w:rsidRDefault="00FE1FEA" w:rsidP="00BA0058">
            <w:pPr>
              <w:pStyle w:val="BulletPoint"/>
              <w:ind w:left="597" w:hanging="277"/>
              <w:rPr>
                <w:sz w:val="22"/>
                <w:szCs w:val="22"/>
              </w:rPr>
            </w:pPr>
            <w:r w:rsidRPr="00BA0058">
              <w:rPr>
                <w:sz w:val="22"/>
                <w:szCs w:val="22"/>
              </w:rPr>
              <w:t xml:space="preserve">Theft of </w:t>
            </w:r>
            <w:r w:rsidR="00164BD8" w:rsidRPr="00BA0058">
              <w:rPr>
                <w:sz w:val="22"/>
                <w:szCs w:val="22"/>
              </w:rPr>
              <w:t>package</w:t>
            </w:r>
            <w:r w:rsidR="00F04114" w:rsidRPr="00BA0058">
              <w:rPr>
                <w:sz w:val="22"/>
                <w:szCs w:val="22"/>
              </w:rPr>
              <w:t>(</w:t>
            </w:r>
            <w:r w:rsidR="00164BD8" w:rsidRPr="00BA0058">
              <w:rPr>
                <w:sz w:val="22"/>
                <w:szCs w:val="22"/>
              </w:rPr>
              <w:t>s</w:t>
            </w:r>
            <w:r w:rsidR="00F04114" w:rsidRPr="00BA0058">
              <w:rPr>
                <w:sz w:val="22"/>
                <w:szCs w:val="22"/>
              </w:rPr>
              <w:t>)</w:t>
            </w:r>
            <w:r w:rsidRPr="00BA0058">
              <w:rPr>
                <w:sz w:val="22"/>
                <w:szCs w:val="22"/>
              </w:rPr>
              <w:t xml:space="preserve"> with or without theft of vehicle</w:t>
            </w:r>
            <w:r w:rsidR="00A952CD" w:rsidRPr="00BA0058">
              <w:rPr>
                <w:sz w:val="22"/>
                <w:szCs w:val="22"/>
              </w:rPr>
              <w:t>.</w:t>
            </w:r>
            <w:r w:rsidRPr="00BA0058">
              <w:rPr>
                <w:sz w:val="22"/>
                <w:szCs w:val="22"/>
              </w:rPr>
              <w:t xml:space="preserve"> </w:t>
            </w:r>
          </w:p>
          <w:p w14:paraId="28DEC077" w14:textId="74AAAE53" w:rsidR="006A1998" w:rsidRPr="00BA0058" w:rsidRDefault="006A1998" w:rsidP="00BA0058">
            <w:pPr>
              <w:pStyle w:val="BulletPoint"/>
              <w:ind w:left="597" w:hanging="277"/>
              <w:rPr>
                <w:sz w:val="22"/>
                <w:szCs w:val="22"/>
              </w:rPr>
            </w:pPr>
            <w:r w:rsidRPr="00BA0058">
              <w:rPr>
                <w:sz w:val="22"/>
                <w:szCs w:val="22"/>
              </w:rPr>
              <w:t>Loss of package</w:t>
            </w:r>
            <w:r w:rsidR="00F04114" w:rsidRPr="00BA0058">
              <w:rPr>
                <w:sz w:val="22"/>
                <w:szCs w:val="22"/>
              </w:rPr>
              <w:t>(</w:t>
            </w:r>
            <w:r w:rsidR="00164BD8" w:rsidRPr="00BA0058">
              <w:rPr>
                <w:sz w:val="22"/>
                <w:szCs w:val="22"/>
              </w:rPr>
              <w:t>s</w:t>
            </w:r>
            <w:r w:rsidR="00F04114" w:rsidRPr="00BA0058">
              <w:rPr>
                <w:sz w:val="22"/>
                <w:szCs w:val="22"/>
              </w:rPr>
              <w:t>)</w:t>
            </w:r>
            <w:r w:rsidRPr="00BA0058">
              <w:rPr>
                <w:sz w:val="22"/>
                <w:szCs w:val="22"/>
              </w:rPr>
              <w:t xml:space="preserve"> – including temporary loss of control.</w:t>
            </w:r>
          </w:p>
          <w:p w14:paraId="026BCB78" w14:textId="603BD1E3" w:rsidR="00FE1FEA" w:rsidRPr="00BA0058" w:rsidRDefault="00FE1FEA" w:rsidP="00464EB5">
            <w:pPr>
              <w:spacing w:before="60"/>
              <w:rPr>
                <w:sz w:val="22"/>
                <w:szCs w:val="22"/>
              </w:rPr>
            </w:pPr>
            <w:r w:rsidRPr="00BA0058">
              <w:rPr>
                <w:sz w:val="22"/>
                <w:szCs w:val="22"/>
              </w:rPr>
              <w:t xml:space="preserve">This list is not exhaustive. </w:t>
            </w:r>
          </w:p>
          <w:p w14:paraId="1AA74072" w14:textId="7F84CDED" w:rsidR="00247FB4" w:rsidRPr="00BA0058" w:rsidRDefault="008F03F0" w:rsidP="00464EB5">
            <w:pPr>
              <w:spacing w:before="60"/>
              <w:rPr>
                <w:sz w:val="22"/>
                <w:szCs w:val="22"/>
              </w:rPr>
            </w:pPr>
            <w:proofErr w:type="gramStart"/>
            <w:r w:rsidRPr="00BA0058">
              <w:rPr>
                <w:sz w:val="22"/>
                <w:szCs w:val="22"/>
              </w:rPr>
              <w:t>In order to</w:t>
            </w:r>
            <w:proofErr w:type="gramEnd"/>
            <w:r w:rsidRPr="00BA0058">
              <w:rPr>
                <w:sz w:val="22"/>
                <w:szCs w:val="22"/>
              </w:rPr>
              <w:t xml:space="preserve"> assess accident doses</w:t>
            </w:r>
            <w:r w:rsidR="00905CE5" w:rsidRPr="00BA0058">
              <w:rPr>
                <w:sz w:val="22"/>
                <w:szCs w:val="22"/>
              </w:rPr>
              <w:t>,</w:t>
            </w:r>
            <w:r w:rsidRPr="00BA0058">
              <w:rPr>
                <w:sz w:val="22"/>
                <w:szCs w:val="22"/>
              </w:rPr>
              <w:t xml:space="preserve"> c</w:t>
            </w:r>
            <w:r w:rsidR="00FE1FEA" w:rsidRPr="00BA0058">
              <w:rPr>
                <w:sz w:val="22"/>
                <w:szCs w:val="22"/>
              </w:rPr>
              <w:t xml:space="preserve">alculate approximate dose ranges the consequences of </w:t>
            </w:r>
            <w:r w:rsidR="00445F05" w:rsidRPr="00BA0058">
              <w:rPr>
                <w:sz w:val="22"/>
                <w:szCs w:val="22"/>
              </w:rPr>
              <w:t>accidents</w:t>
            </w:r>
            <w:r w:rsidR="00FE1FEA" w:rsidRPr="00BA0058">
              <w:rPr>
                <w:sz w:val="22"/>
                <w:szCs w:val="22"/>
              </w:rPr>
              <w:t xml:space="preserve"> might fall within to substantiate ‘severity’ and inform the overall risk. ONR expects any use of descriptors such as high/medium/low to be supported by information relating to relevant dose ranges. These could be described as 10’s or 100’s of </w:t>
            </w:r>
            <w:proofErr w:type="spellStart"/>
            <w:r w:rsidR="00FE1FEA" w:rsidRPr="00BA0058">
              <w:rPr>
                <w:sz w:val="22"/>
                <w:szCs w:val="22"/>
              </w:rPr>
              <w:t>micro</w:t>
            </w:r>
            <w:r w:rsidR="00212C67" w:rsidRPr="00BA0058">
              <w:rPr>
                <w:sz w:val="22"/>
                <w:szCs w:val="22"/>
              </w:rPr>
              <w:t>s</w:t>
            </w:r>
            <w:r w:rsidR="00FE1FEA" w:rsidRPr="00BA0058">
              <w:rPr>
                <w:sz w:val="22"/>
                <w:szCs w:val="22"/>
              </w:rPr>
              <w:t>ieverts</w:t>
            </w:r>
            <w:proofErr w:type="spellEnd"/>
            <w:r w:rsidR="00FE1FEA" w:rsidRPr="00BA0058">
              <w:rPr>
                <w:sz w:val="22"/>
                <w:szCs w:val="22"/>
              </w:rPr>
              <w:t xml:space="preserve"> or milli</w:t>
            </w:r>
            <w:r w:rsidR="00212C67" w:rsidRPr="00BA0058">
              <w:rPr>
                <w:sz w:val="22"/>
                <w:szCs w:val="22"/>
              </w:rPr>
              <w:t>s</w:t>
            </w:r>
            <w:r w:rsidR="00FE1FEA" w:rsidRPr="00BA0058">
              <w:rPr>
                <w:sz w:val="22"/>
                <w:szCs w:val="22"/>
              </w:rPr>
              <w:t xml:space="preserve">ieverts, for instance. Assessment should include consideration of ingestion and or inhalation as well as direct radiation exposure from all radiation sources, including any depleted uranium (DU) shielding used as an integral part of a package design. </w:t>
            </w:r>
          </w:p>
          <w:p w14:paraId="1589F984" w14:textId="24DCED0B" w:rsidR="00257C8F" w:rsidRPr="00BA0058" w:rsidRDefault="00726365" w:rsidP="00464EB5">
            <w:pPr>
              <w:spacing w:before="60"/>
              <w:rPr>
                <w:sz w:val="22"/>
                <w:szCs w:val="22"/>
              </w:rPr>
            </w:pPr>
            <w:r w:rsidRPr="00BA0058">
              <w:rPr>
                <w:sz w:val="22"/>
                <w:szCs w:val="22"/>
              </w:rPr>
              <w:t xml:space="preserve">The </w:t>
            </w:r>
            <w:r w:rsidR="00FE1FEA" w:rsidRPr="00BA0058">
              <w:rPr>
                <w:sz w:val="22"/>
                <w:szCs w:val="22"/>
              </w:rPr>
              <w:t>I</w:t>
            </w:r>
            <w:r w:rsidR="00F7029A" w:rsidRPr="00BA0058">
              <w:rPr>
                <w:sz w:val="22"/>
                <w:szCs w:val="22"/>
              </w:rPr>
              <w:t xml:space="preserve">nternational </w:t>
            </w:r>
            <w:r w:rsidR="00FE1FEA" w:rsidRPr="00BA0058">
              <w:rPr>
                <w:sz w:val="22"/>
                <w:szCs w:val="22"/>
              </w:rPr>
              <w:t>A</w:t>
            </w:r>
            <w:r w:rsidR="00F7029A" w:rsidRPr="00BA0058">
              <w:rPr>
                <w:sz w:val="22"/>
                <w:szCs w:val="22"/>
              </w:rPr>
              <w:t xml:space="preserve">tomic </w:t>
            </w:r>
            <w:r w:rsidR="00FE1FEA" w:rsidRPr="00BA0058">
              <w:rPr>
                <w:sz w:val="22"/>
                <w:szCs w:val="22"/>
              </w:rPr>
              <w:t>E</w:t>
            </w:r>
            <w:r w:rsidR="00F7029A" w:rsidRPr="00BA0058">
              <w:rPr>
                <w:sz w:val="22"/>
                <w:szCs w:val="22"/>
              </w:rPr>
              <w:t xml:space="preserve">nergy </w:t>
            </w:r>
            <w:r w:rsidR="00FE1FEA" w:rsidRPr="00BA0058">
              <w:rPr>
                <w:sz w:val="22"/>
                <w:szCs w:val="22"/>
              </w:rPr>
              <w:t>A</w:t>
            </w:r>
            <w:r w:rsidR="00F7029A" w:rsidRPr="00BA0058">
              <w:rPr>
                <w:sz w:val="22"/>
                <w:szCs w:val="22"/>
              </w:rPr>
              <w:t>gency (IAEA)</w:t>
            </w:r>
            <w:r w:rsidR="00FE1FEA" w:rsidRPr="00BA0058">
              <w:rPr>
                <w:sz w:val="22"/>
                <w:szCs w:val="22"/>
              </w:rPr>
              <w:t xml:space="preserve"> assumes that in a “median accident” involving a single Type A package with its maximum allowable contents, a dose of 50 mSv could potentially be received by persons in the close vicinity of the package over a period of 30 minutes. </w:t>
            </w:r>
            <w:r w:rsidR="00D20D09" w:rsidRPr="00BA0058">
              <w:rPr>
                <w:sz w:val="22"/>
                <w:szCs w:val="22"/>
              </w:rPr>
              <w:t>ON</w:t>
            </w:r>
            <w:r w:rsidR="004C7C1A" w:rsidRPr="00BA0058">
              <w:rPr>
                <w:sz w:val="22"/>
                <w:szCs w:val="22"/>
              </w:rPr>
              <w:t>R</w:t>
            </w:r>
            <w:r w:rsidR="00D20D09" w:rsidRPr="00BA0058">
              <w:rPr>
                <w:sz w:val="22"/>
                <w:szCs w:val="22"/>
              </w:rPr>
              <w:t xml:space="preserve"> expectations are that </w:t>
            </w:r>
            <w:r w:rsidR="00CF53F5" w:rsidRPr="00BA0058">
              <w:rPr>
                <w:sz w:val="22"/>
                <w:szCs w:val="22"/>
              </w:rPr>
              <w:t xml:space="preserve">a radiation emergency is possible </w:t>
            </w:r>
            <w:r w:rsidR="00D20D09" w:rsidRPr="00BA0058">
              <w:rPr>
                <w:sz w:val="22"/>
                <w:szCs w:val="22"/>
              </w:rPr>
              <w:t xml:space="preserve">where </w:t>
            </w:r>
            <w:r w:rsidR="00F8388E" w:rsidRPr="00BA0058">
              <w:rPr>
                <w:sz w:val="22"/>
                <w:szCs w:val="22"/>
              </w:rPr>
              <w:t xml:space="preserve">a </w:t>
            </w:r>
            <w:r w:rsidR="00B157A4" w:rsidRPr="00BA0058">
              <w:rPr>
                <w:sz w:val="22"/>
                <w:szCs w:val="22"/>
              </w:rPr>
              <w:t>radionuclide</w:t>
            </w:r>
            <w:r w:rsidR="00F8388E" w:rsidRPr="00BA0058">
              <w:rPr>
                <w:sz w:val="22"/>
                <w:szCs w:val="22"/>
              </w:rPr>
              <w:t xml:space="preserve"> </w:t>
            </w:r>
            <w:r w:rsidR="00B157A4" w:rsidRPr="00BA0058">
              <w:rPr>
                <w:sz w:val="22"/>
                <w:szCs w:val="22"/>
              </w:rPr>
              <w:t xml:space="preserve">with </w:t>
            </w:r>
            <w:r w:rsidR="00F8388E" w:rsidRPr="00BA0058">
              <w:rPr>
                <w:sz w:val="22"/>
                <w:szCs w:val="22"/>
              </w:rPr>
              <w:t xml:space="preserve">an </w:t>
            </w:r>
            <w:r w:rsidR="00B157A4" w:rsidRPr="00BA0058">
              <w:rPr>
                <w:sz w:val="22"/>
                <w:szCs w:val="22"/>
              </w:rPr>
              <w:t>activit</w:t>
            </w:r>
            <w:r w:rsidR="00F8388E" w:rsidRPr="00BA0058">
              <w:rPr>
                <w:sz w:val="22"/>
                <w:szCs w:val="22"/>
              </w:rPr>
              <w:t>y</w:t>
            </w:r>
            <w:r w:rsidR="00B157A4" w:rsidRPr="00BA0058">
              <w:rPr>
                <w:sz w:val="22"/>
                <w:szCs w:val="22"/>
              </w:rPr>
              <w:t xml:space="preserve"> greater than 1/50</w:t>
            </w:r>
            <w:r w:rsidR="00B157A4" w:rsidRPr="00BA0058">
              <w:rPr>
                <w:sz w:val="22"/>
                <w:szCs w:val="22"/>
                <w:vertAlign w:val="superscript"/>
              </w:rPr>
              <w:t>th</w:t>
            </w:r>
            <w:r w:rsidR="004D2AE2" w:rsidRPr="00BA0058">
              <w:rPr>
                <w:sz w:val="22"/>
                <w:szCs w:val="22"/>
              </w:rPr>
              <w:t xml:space="preserve"> of the </w:t>
            </w:r>
            <w:r w:rsidR="00B157A4" w:rsidRPr="00BA0058">
              <w:rPr>
                <w:sz w:val="22"/>
                <w:szCs w:val="22"/>
              </w:rPr>
              <w:t>A2 value</w:t>
            </w:r>
            <w:r w:rsidR="00F8388E" w:rsidRPr="00BA0058">
              <w:rPr>
                <w:sz w:val="22"/>
                <w:szCs w:val="22"/>
              </w:rPr>
              <w:t xml:space="preserve"> is</w:t>
            </w:r>
            <w:r w:rsidR="00B157A4" w:rsidRPr="00BA0058">
              <w:rPr>
                <w:sz w:val="22"/>
                <w:szCs w:val="22"/>
              </w:rPr>
              <w:t xml:space="preserve"> transported</w:t>
            </w:r>
            <w:r w:rsidR="009E1798" w:rsidRPr="00BA0058">
              <w:rPr>
                <w:sz w:val="22"/>
                <w:szCs w:val="22"/>
              </w:rPr>
              <w:t xml:space="preserve"> (ADR/RID 2.2.7.2.2 refer)</w:t>
            </w:r>
            <w:r w:rsidR="005C6265" w:rsidRPr="00BA0058">
              <w:rPr>
                <w:sz w:val="22"/>
                <w:szCs w:val="22"/>
              </w:rPr>
              <w:t xml:space="preserve">. </w:t>
            </w:r>
            <w:r w:rsidR="00257C8F" w:rsidRPr="00BA0058">
              <w:rPr>
                <w:sz w:val="22"/>
                <w:szCs w:val="22"/>
              </w:rPr>
              <w:t>In this instance, if it is not considered that 1</w:t>
            </w:r>
            <w:r w:rsidR="00905CE5" w:rsidRPr="00BA0058">
              <w:rPr>
                <w:sz w:val="22"/>
                <w:szCs w:val="22"/>
              </w:rPr>
              <w:t xml:space="preserve"> </w:t>
            </w:r>
            <w:r w:rsidR="00257C8F" w:rsidRPr="00BA0058">
              <w:rPr>
                <w:sz w:val="22"/>
                <w:szCs w:val="22"/>
              </w:rPr>
              <w:t>mSv could be exceeded, a robust justification should be included.</w:t>
            </w:r>
          </w:p>
          <w:p w14:paraId="3B0A914F" w14:textId="08B9110D" w:rsidR="00DA2F1C" w:rsidRPr="00BA0058" w:rsidRDefault="00FE1FEA" w:rsidP="00464EB5">
            <w:pPr>
              <w:spacing w:before="60"/>
              <w:rPr>
                <w:sz w:val="22"/>
                <w:szCs w:val="22"/>
              </w:rPr>
            </w:pPr>
            <w:r w:rsidRPr="00BA0058">
              <w:rPr>
                <w:sz w:val="22"/>
                <w:szCs w:val="22"/>
              </w:rPr>
              <w:t xml:space="preserve">Different assumptions may be made for consignments of packages that are designed to withstand accident conditions of transport (Type B </w:t>
            </w:r>
            <w:r w:rsidR="00257C8F" w:rsidRPr="00BA0058">
              <w:rPr>
                <w:sz w:val="22"/>
                <w:szCs w:val="22"/>
              </w:rPr>
              <w:t>p</w:t>
            </w:r>
            <w:r w:rsidRPr="00BA0058">
              <w:rPr>
                <w:sz w:val="22"/>
                <w:szCs w:val="22"/>
              </w:rPr>
              <w:t>ackages</w:t>
            </w:r>
            <w:r w:rsidR="00247F59" w:rsidRPr="00BA0058">
              <w:rPr>
                <w:rStyle w:val="FootnoteReference"/>
                <w:sz w:val="22"/>
                <w:szCs w:val="22"/>
              </w:rPr>
              <w:footnoteReference w:id="4"/>
            </w:r>
            <w:r w:rsidRPr="00BA0058">
              <w:rPr>
                <w:sz w:val="22"/>
                <w:szCs w:val="22"/>
              </w:rPr>
              <w:t xml:space="preserve">) for those designed only to withstand routine conditions of transport (for example, excepted packages). Where assumptions are made, it is appropriate to document them. </w:t>
            </w:r>
          </w:p>
          <w:p w14:paraId="06B61D30" w14:textId="047296A9" w:rsidR="00517C12" w:rsidRPr="00BA0058" w:rsidRDefault="00FE1FEA" w:rsidP="00464EB5">
            <w:pPr>
              <w:spacing w:before="60"/>
              <w:rPr>
                <w:sz w:val="22"/>
                <w:szCs w:val="22"/>
              </w:rPr>
            </w:pPr>
            <w:r w:rsidRPr="00BA0058">
              <w:rPr>
                <w:sz w:val="22"/>
                <w:szCs w:val="22"/>
              </w:rPr>
              <w:t>The number and type of packages in a consignment will need to be considered and bounding cases may be used to address routine transport activities for those that transport a variety of radionuclides/packages routinely.</w:t>
            </w:r>
          </w:p>
          <w:p w14:paraId="138A74CF" w14:textId="77777777" w:rsidR="00773480" w:rsidRPr="00BA0058" w:rsidRDefault="00773480" w:rsidP="00464EB5">
            <w:pPr>
              <w:spacing w:before="60"/>
              <w:rPr>
                <w:sz w:val="22"/>
                <w:szCs w:val="22"/>
              </w:rPr>
            </w:pPr>
            <w:r w:rsidRPr="00BA0058">
              <w:rPr>
                <w:sz w:val="22"/>
                <w:szCs w:val="22"/>
              </w:rPr>
              <w:t>Assessments should:</w:t>
            </w:r>
          </w:p>
          <w:p w14:paraId="426F403A" w14:textId="3A9E9C89" w:rsidR="00562889" w:rsidRPr="00BA0058" w:rsidRDefault="00133D1C" w:rsidP="00464EB5">
            <w:pPr>
              <w:pStyle w:val="ListParagraph"/>
              <w:numPr>
                <w:ilvl w:val="0"/>
                <w:numId w:val="22"/>
              </w:numPr>
              <w:spacing w:before="60"/>
              <w:rPr>
                <w:sz w:val="22"/>
                <w:szCs w:val="22"/>
              </w:rPr>
            </w:pPr>
            <w:r w:rsidRPr="00BA0058">
              <w:rPr>
                <w:sz w:val="22"/>
                <w:szCs w:val="22"/>
              </w:rPr>
              <w:t>A</w:t>
            </w:r>
            <w:r w:rsidR="00562889" w:rsidRPr="00BA0058">
              <w:rPr>
                <w:sz w:val="22"/>
                <w:szCs w:val="22"/>
              </w:rPr>
              <w:t>pply the hierarchy of control</w:t>
            </w:r>
            <w:r w:rsidRPr="00BA0058">
              <w:rPr>
                <w:sz w:val="22"/>
                <w:szCs w:val="22"/>
              </w:rPr>
              <w:t xml:space="preserve"> principles</w:t>
            </w:r>
            <w:r w:rsidR="00C95F35" w:rsidRPr="00BA0058">
              <w:rPr>
                <w:sz w:val="22"/>
                <w:szCs w:val="22"/>
              </w:rPr>
              <w:t xml:space="preserve"> (</w:t>
            </w:r>
            <w:hyperlink r:id="rId17" w:history="1">
              <w:r w:rsidR="00C95F35" w:rsidRPr="00BA0058">
                <w:rPr>
                  <w:rStyle w:val="Hyperlink"/>
                  <w:sz w:val="22"/>
                  <w:szCs w:val="22"/>
                </w:rPr>
                <w:t>https://www.hse.gov.uk/construction/lwit/assets/downloads/hierarchy-risk-controls.pdf</w:t>
              </w:r>
            </w:hyperlink>
            <w:proofErr w:type="gramStart"/>
            <w:r w:rsidR="00C95F35" w:rsidRPr="00BA0058">
              <w:rPr>
                <w:sz w:val="22"/>
                <w:szCs w:val="22"/>
              </w:rPr>
              <w:t xml:space="preserve">) </w:t>
            </w:r>
            <w:r w:rsidRPr="00BA0058">
              <w:rPr>
                <w:sz w:val="22"/>
                <w:szCs w:val="22"/>
              </w:rPr>
              <w:t>.</w:t>
            </w:r>
            <w:proofErr w:type="gramEnd"/>
          </w:p>
          <w:p w14:paraId="41AFEFC8" w14:textId="2A010817" w:rsidR="00773480" w:rsidRPr="00BA0058" w:rsidRDefault="00257C8F" w:rsidP="00464EB5">
            <w:pPr>
              <w:pStyle w:val="ListParagraph"/>
              <w:numPr>
                <w:ilvl w:val="0"/>
                <w:numId w:val="22"/>
              </w:numPr>
              <w:spacing w:before="60"/>
              <w:rPr>
                <w:sz w:val="22"/>
                <w:szCs w:val="22"/>
              </w:rPr>
            </w:pPr>
            <w:r w:rsidRPr="00BA0058">
              <w:rPr>
                <w:sz w:val="22"/>
                <w:szCs w:val="22"/>
              </w:rPr>
              <w:t>I</w:t>
            </w:r>
            <w:r w:rsidR="00773480" w:rsidRPr="00BA0058">
              <w:rPr>
                <w:sz w:val="22"/>
                <w:szCs w:val="22"/>
              </w:rPr>
              <w:t xml:space="preserve">nclude doses that could be accrued by all personnel (including emergency services personnel) in recovering packages or </w:t>
            </w:r>
          </w:p>
          <w:p w14:paraId="158EA98B" w14:textId="658384C9" w:rsidR="00773480" w:rsidRPr="00BA0058" w:rsidRDefault="004E0FC9" w:rsidP="00464EB5">
            <w:pPr>
              <w:pStyle w:val="ListParagraph"/>
              <w:spacing w:before="60"/>
              <w:ind w:left="788"/>
              <w:rPr>
                <w:sz w:val="22"/>
                <w:szCs w:val="22"/>
              </w:rPr>
            </w:pPr>
            <w:r w:rsidRPr="00BA0058">
              <w:rPr>
                <w:sz w:val="22"/>
                <w:szCs w:val="22"/>
              </w:rPr>
              <w:t>include</w:t>
            </w:r>
            <w:r w:rsidR="00773480" w:rsidRPr="00BA0058">
              <w:rPr>
                <w:sz w:val="22"/>
                <w:szCs w:val="22"/>
              </w:rPr>
              <w:t xml:space="preserve"> a robust qualitative demonstration that a dose </w:t>
            </w:r>
            <w:proofErr w:type="gramStart"/>
            <w:r w:rsidR="00773480" w:rsidRPr="00BA0058">
              <w:rPr>
                <w:sz w:val="22"/>
                <w:szCs w:val="22"/>
              </w:rPr>
              <w:t>in excess of</w:t>
            </w:r>
            <w:proofErr w:type="gramEnd"/>
            <w:r w:rsidR="00773480" w:rsidRPr="00BA0058">
              <w:rPr>
                <w:sz w:val="22"/>
                <w:szCs w:val="22"/>
              </w:rPr>
              <w:t xml:space="preserve"> 1</w:t>
            </w:r>
            <w:r w:rsidR="00905CE5" w:rsidRPr="00BA0058">
              <w:rPr>
                <w:sz w:val="22"/>
                <w:szCs w:val="22"/>
              </w:rPr>
              <w:t xml:space="preserve"> </w:t>
            </w:r>
            <w:r w:rsidR="00773480" w:rsidRPr="00BA0058">
              <w:rPr>
                <w:sz w:val="22"/>
                <w:szCs w:val="22"/>
              </w:rPr>
              <w:t xml:space="preserve">mSv to any individual over a period of one year following the radiation </w:t>
            </w:r>
            <w:r w:rsidR="00017651" w:rsidRPr="00BA0058">
              <w:rPr>
                <w:sz w:val="22"/>
                <w:szCs w:val="22"/>
              </w:rPr>
              <w:t>accident</w:t>
            </w:r>
            <w:r w:rsidR="004036EB" w:rsidRPr="00BA0058">
              <w:rPr>
                <w:sz w:val="22"/>
                <w:szCs w:val="22"/>
              </w:rPr>
              <w:t xml:space="preserve"> </w:t>
            </w:r>
            <w:r w:rsidR="00773480" w:rsidRPr="00BA0058">
              <w:rPr>
                <w:sz w:val="22"/>
                <w:szCs w:val="22"/>
              </w:rPr>
              <w:t xml:space="preserve">is or is not possible.  </w:t>
            </w:r>
          </w:p>
          <w:p w14:paraId="1D0B03D4" w14:textId="2BA25437" w:rsidR="00773480" w:rsidRPr="00BA0058" w:rsidRDefault="00257C8F" w:rsidP="00464EB5">
            <w:pPr>
              <w:pStyle w:val="ListParagraph"/>
              <w:numPr>
                <w:ilvl w:val="0"/>
                <w:numId w:val="22"/>
              </w:numPr>
              <w:spacing w:before="60"/>
              <w:rPr>
                <w:sz w:val="22"/>
                <w:szCs w:val="22"/>
              </w:rPr>
            </w:pPr>
            <w:r w:rsidRPr="00BA0058">
              <w:rPr>
                <w:sz w:val="22"/>
                <w:szCs w:val="22"/>
              </w:rPr>
              <w:t>C</w:t>
            </w:r>
            <w:r w:rsidR="00773480" w:rsidRPr="00BA0058">
              <w:rPr>
                <w:sz w:val="22"/>
                <w:szCs w:val="22"/>
              </w:rPr>
              <w:t xml:space="preserve">onsider the impact on employees/others if the package is not assembled, </w:t>
            </w:r>
            <w:proofErr w:type="gramStart"/>
            <w:r w:rsidR="00773480" w:rsidRPr="00BA0058">
              <w:rPr>
                <w:sz w:val="22"/>
                <w:szCs w:val="22"/>
              </w:rPr>
              <w:t>used</w:t>
            </w:r>
            <w:proofErr w:type="gramEnd"/>
            <w:r w:rsidR="00773480" w:rsidRPr="00BA0058">
              <w:rPr>
                <w:sz w:val="22"/>
                <w:szCs w:val="22"/>
              </w:rPr>
              <w:t xml:space="preserve"> or maintained in accordance with the advice from the manufacturer/supplier described in 70</w:t>
            </w:r>
            <w:r w:rsidR="0015721A" w:rsidRPr="00BA0058">
              <w:rPr>
                <w:sz w:val="22"/>
                <w:szCs w:val="22"/>
              </w:rPr>
              <w:t xml:space="preserve"> </w:t>
            </w:r>
            <w:r w:rsidR="00773480" w:rsidRPr="00BA0058">
              <w:rPr>
                <w:sz w:val="22"/>
                <w:szCs w:val="22"/>
              </w:rPr>
              <w:t>(e)</w:t>
            </w:r>
            <w:r w:rsidR="00F7029A" w:rsidRPr="00BA0058">
              <w:rPr>
                <w:sz w:val="22"/>
                <w:szCs w:val="22"/>
              </w:rPr>
              <w:t>.</w:t>
            </w:r>
          </w:p>
          <w:p w14:paraId="4A9E96AF" w14:textId="0D8592D5" w:rsidR="00773480" w:rsidRPr="00BA0058" w:rsidRDefault="00257C8F" w:rsidP="00464EB5">
            <w:pPr>
              <w:pStyle w:val="ListParagraph"/>
              <w:numPr>
                <w:ilvl w:val="0"/>
                <w:numId w:val="22"/>
              </w:numPr>
              <w:spacing w:before="60"/>
              <w:rPr>
                <w:sz w:val="22"/>
                <w:szCs w:val="22"/>
              </w:rPr>
            </w:pPr>
            <w:r w:rsidRPr="00BA0058">
              <w:rPr>
                <w:sz w:val="22"/>
                <w:szCs w:val="22"/>
              </w:rPr>
              <w:t>C</w:t>
            </w:r>
            <w:r w:rsidR="00773480" w:rsidRPr="00BA0058">
              <w:rPr>
                <w:sz w:val="22"/>
                <w:szCs w:val="22"/>
              </w:rPr>
              <w:t>onsider the impact if the engineering control measures and design features described in 70</w:t>
            </w:r>
            <w:r w:rsidR="0015721A" w:rsidRPr="00BA0058">
              <w:rPr>
                <w:sz w:val="22"/>
                <w:szCs w:val="22"/>
              </w:rPr>
              <w:t xml:space="preserve"> </w:t>
            </w:r>
            <w:r w:rsidR="00773480" w:rsidRPr="00BA0058">
              <w:rPr>
                <w:sz w:val="22"/>
                <w:szCs w:val="22"/>
              </w:rPr>
              <w:t>(f) fail or are not implemented correctly.</w:t>
            </w:r>
          </w:p>
          <w:p w14:paraId="76A1DF30" w14:textId="7F95992C" w:rsidR="00106D34" w:rsidRPr="00BA0058" w:rsidRDefault="00257C8F" w:rsidP="00464EB5">
            <w:pPr>
              <w:pStyle w:val="ListParagraph"/>
              <w:numPr>
                <w:ilvl w:val="0"/>
                <w:numId w:val="22"/>
              </w:numPr>
              <w:spacing w:before="60"/>
              <w:rPr>
                <w:sz w:val="22"/>
                <w:szCs w:val="22"/>
              </w:rPr>
            </w:pPr>
            <w:proofErr w:type="gramStart"/>
            <w:r w:rsidRPr="00BA0058">
              <w:rPr>
                <w:sz w:val="22"/>
                <w:szCs w:val="22"/>
              </w:rPr>
              <w:t>T</w:t>
            </w:r>
            <w:r w:rsidR="00773480" w:rsidRPr="00BA0058">
              <w:rPr>
                <w:sz w:val="22"/>
                <w:szCs w:val="22"/>
              </w:rPr>
              <w:t>ake into account</w:t>
            </w:r>
            <w:proofErr w:type="gramEnd"/>
            <w:r w:rsidR="00773480" w:rsidRPr="00BA0058">
              <w:rPr>
                <w:sz w:val="22"/>
                <w:szCs w:val="22"/>
              </w:rPr>
              <w:t xml:space="preserve"> the consequences, not only of possible plant and equipment failures, but also of a breakdown in work systems and of unauthorised behaviour at work (IRR17 </w:t>
            </w:r>
            <w:r w:rsidR="00905CE5" w:rsidRPr="00BA0058">
              <w:rPr>
                <w:sz w:val="22"/>
                <w:szCs w:val="22"/>
              </w:rPr>
              <w:t xml:space="preserve">guidance </w:t>
            </w:r>
            <w:r w:rsidR="00773480" w:rsidRPr="00BA0058">
              <w:rPr>
                <w:sz w:val="22"/>
                <w:szCs w:val="22"/>
              </w:rPr>
              <w:t>paragraph 83).</w:t>
            </w:r>
            <w:r w:rsidR="00133D1C" w:rsidRPr="00BA0058">
              <w:rPr>
                <w:sz w:val="22"/>
                <w:szCs w:val="22"/>
              </w:rPr>
              <w:t xml:space="preserve"> </w:t>
            </w:r>
          </w:p>
          <w:p w14:paraId="282011F1" w14:textId="7869C9C9" w:rsidR="00BC3A33" w:rsidRPr="00BA0058" w:rsidRDefault="00BC3A33" w:rsidP="00464EB5">
            <w:pPr>
              <w:pStyle w:val="ListParagraph"/>
              <w:numPr>
                <w:ilvl w:val="0"/>
                <w:numId w:val="22"/>
              </w:numPr>
              <w:spacing w:before="60"/>
              <w:rPr>
                <w:sz w:val="22"/>
                <w:szCs w:val="22"/>
              </w:rPr>
            </w:pPr>
            <w:r w:rsidRPr="00BA0058">
              <w:rPr>
                <w:sz w:val="22"/>
                <w:szCs w:val="22"/>
              </w:rPr>
              <w:t>Where loss or theft of a package has been assessed a reasonably foreseeable accident, include assumptions of the actions of untrained individuals such as members of the public. This may include where loss or theft occurs that the package will deliberately be opened.</w:t>
            </w:r>
          </w:p>
          <w:p w14:paraId="5BACF24E" w14:textId="3FC7FF81" w:rsidR="00773480" w:rsidRPr="00BA0058" w:rsidRDefault="00257C8F" w:rsidP="00464EB5">
            <w:pPr>
              <w:pStyle w:val="ListParagraph"/>
              <w:numPr>
                <w:ilvl w:val="0"/>
                <w:numId w:val="22"/>
              </w:numPr>
              <w:spacing w:before="60"/>
              <w:rPr>
                <w:sz w:val="22"/>
                <w:szCs w:val="22"/>
              </w:rPr>
            </w:pPr>
            <w:r w:rsidRPr="00BA0058">
              <w:rPr>
                <w:sz w:val="22"/>
                <w:szCs w:val="22"/>
              </w:rPr>
              <w:t>I</w:t>
            </w:r>
            <w:r w:rsidR="00773480" w:rsidRPr="00BA0058">
              <w:rPr>
                <w:sz w:val="22"/>
                <w:szCs w:val="22"/>
              </w:rPr>
              <w:t>nclude a clear conclusion as to whether a radiation emergency is or is not possible.</w:t>
            </w:r>
          </w:p>
          <w:p w14:paraId="5293E9FD" w14:textId="77777777" w:rsidR="00773480" w:rsidRPr="00BA0058" w:rsidRDefault="00773480" w:rsidP="00464EB5">
            <w:pPr>
              <w:spacing w:before="60"/>
              <w:rPr>
                <w:sz w:val="22"/>
                <w:szCs w:val="22"/>
              </w:rPr>
            </w:pPr>
            <w:r w:rsidRPr="00BA0058">
              <w:rPr>
                <w:sz w:val="22"/>
                <w:szCs w:val="22"/>
              </w:rPr>
              <w:t>Assessments should not:</w:t>
            </w:r>
          </w:p>
          <w:p w14:paraId="70342BD2" w14:textId="667CF948" w:rsidR="00D000C0" w:rsidRPr="00BA0058" w:rsidRDefault="00D000C0" w:rsidP="00464EB5">
            <w:pPr>
              <w:pStyle w:val="ListParagraph"/>
              <w:numPr>
                <w:ilvl w:val="0"/>
                <w:numId w:val="22"/>
              </w:numPr>
              <w:spacing w:before="60"/>
              <w:rPr>
                <w:sz w:val="22"/>
                <w:szCs w:val="22"/>
              </w:rPr>
            </w:pPr>
            <w:r w:rsidRPr="00BA0058">
              <w:rPr>
                <w:sz w:val="22"/>
                <w:szCs w:val="22"/>
              </w:rPr>
              <w:t>Exclude low frequency potential accidents.</w:t>
            </w:r>
          </w:p>
          <w:p w14:paraId="63743F6F" w14:textId="7DB25DF6" w:rsidR="00D000C0" w:rsidRPr="00BA0058" w:rsidRDefault="00D000C0" w:rsidP="00464EB5">
            <w:pPr>
              <w:pStyle w:val="ListParagraph"/>
              <w:numPr>
                <w:ilvl w:val="0"/>
                <w:numId w:val="22"/>
              </w:numPr>
              <w:spacing w:before="60"/>
              <w:rPr>
                <w:sz w:val="22"/>
                <w:szCs w:val="22"/>
              </w:rPr>
            </w:pPr>
            <w:r w:rsidRPr="00BA0058">
              <w:rPr>
                <w:sz w:val="22"/>
                <w:szCs w:val="22"/>
              </w:rPr>
              <w:t>Rely solely on the robustness of a package type as justification that a potential accident is not possible.</w:t>
            </w:r>
          </w:p>
          <w:p w14:paraId="77EF15D2" w14:textId="57E0A3EB" w:rsidR="00773480" w:rsidRPr="00BA0058" w:rsidRDefault="00257C8F" w:rsidP="00464EB5">
            <w:pPr>
              <w:pStyle w:val="ListParagraph"/>
              <w:numPr>
                <w:ilvl w:val="0"/>
                <w:numId w:val="22"/>
              </w:numPr>
              <w:spacing w:before="60"/>
              <w:rPr>
                <w:rFonts w:cs="Arial"/>
                <w:sz w:val="22"/>
                <w:szCs w:val="22"/>
              </w:rPr>
            </w:pPr>
            <w:r w:rsidRPr="00BA0058">
              <w:rPr>
                <w:sz w:val="22"/>
                <w:szCs w:val="22"/>
              </w:rPr>
              <w:t>B</w:t>
            </w:r>
            <w:r w:rsidR="00773480" w:rsidRPr="00BA0058">
              <w:rPr>
                <w:sz w:val="22"/>
                <w:szCs w:val="22"/>
              </w:rPr>
              <w:t xml:space="preserve">e based upon personnel remaining a certain distance from packages with reliance on recovery operations taking place under health physics supervision and control. </w:t>
            </w:r>
          </w:p>
        </w:tc>
      </w:tr>
      <w:tr w:rsidR="004B68AC" w:rsidRPr="00EB324F" w14:paraId="39CFE161" w14:textId="77777777" w:rsidTr="00BA0058">
        <w:tc>
          <w:tcPr>
            <w:tcW w:w="469" w:type="pct"/>
            <w:shd w:val="clear" w:color="auto" w:fill="auto"/>
          </w:tcPr>
          <w:p w14:paraId="56AB5C07" w14:textId="039EB91C" w:rsidR="004B68AC" w:rsidRPr="00BA0058" w:rsidRDefault="00FE1FEA" w:rsidP="00063CA8">
            <w:pPr>
              <w:spacing w:before="60" w:after="60"/>
              <w:rPr>
                <w:rFonts w:cs="Arial"/>
                <w:sz w:val="22"/>
                <w:szCs w:val="22"/>
              </w:rPr>
            </w:pPr>
            <w:r w:rsidRPr="00BA0058">
              <w:rPr>
                <w:rFonts w:cs="Arial"/>
                <w:sz w:val="22"/>
                <w:szCs w:val="22"/>
              </w:rPr>
              <w:t>(l)</w:t>
            </w:r>
          </w:p>
        </w:tc>
        <w:tc>
          <w:tcPr>
            <w:tcW w:w="1258" w:type="pct"/>
            <w:shd w:val="clear" w:color="auto" w:fill="auto"/>
          </w:tcPr>
          <w:p w14:paraId="06F669FD" w14:textId="61F4CB43" w:rsidR="004B68AC" w:rsidRPr="00BA0058" w:rsidRDefault="00FE1FEA" w:rsidP="00063CA8">
            <w:pPr>
              <w:spacing w:before="60" w:after="60"/>
              <w:rPr>
                <w:rFonts w:cs="Arial"/>
                <w:sz w:val="22"/>
                <w:szCs w:val="22"/>
              </w:rPr>
            </w:pPr>
            <w:r w:rsidRPr="00BA0058">
              <w:rPr>
                <w:sz w:val="22"/>
                <w:szCs w:val="22"/>
              </w:rPr>
              <w:t>The consequences of possible failures of control measures – such as electrical interlocks, ventilation systems and warning devices – or systems of work</w:t>
            </w:r>
          </w:p>
        </w:tc>
        <w:tc>
          <w:tcPr>
            <w:tcW w:w="3273" w:type="pct"/>
          </w:tcPr>
          <w:p w14:paraId="364CC289" w14:textId="52ABA378" w:rsidR="004B68AC" w:rsidRPr="00BA0058" w:rsidRDefault="00301750" w:rsidP="00063CA8">
            <w:pPr>
              <w:spacing w:before="60" w:after="60"/>
              <w:rPr>
                <w:rFonts w:cs="Arial"/>
                <w:sz w:val="22"/>
                <w:szCs w:val="22"/>
              </w:rPr>
            </w:pPr>
            <w:r w:rsidRPr="00BA0058">
              <w:rPr>
                <w:sz w:val="22"/>
                <w:szCs w:val="22"/>
              </w:rPr>
              <w:t>C</w:t>
            </w:r>
            <w:r w:rsidR="00FE1FEA" w:rsidRPr="00BA0058">
              <w:rPr>
                <w:sz w:val="22"/>
                <w:szCs w:val="22"/>
              </w:rPr>
              <w:t xml:space="preserve">onsider reasonably foreseeable scenarios and their dose consequences. Some specialist packages require </w:t>
            </w:r>
            <w:proofErr w:type="gramStart"/>
            <w:r w:rsidR="00FE1FEA" w:rsidRPr="00BA0058">
              <w:rPr>
                <w:sz w:val="22"/>
                <w:szCs w:val="22"/>
              </w:rPr>
              <w:t>cooling, or</w:t>
            </w:r>
            <w:proofErr w:type="gramEnd"/>
            <w:r w:rsidR="00FE1FEA" w:rsidRPr="00BA0058">
              <w:rPr>
                <w:sz w:val="22"/>
                <w:szCs w:val="22"/>
              </w:rPr>
              <w:t xml:space="preserve"> may require particular locking devices to secure the load. Given the mobile nature of transport operations, failures of systems of work are generally likely to have an impact. Systems of work can include package preparation loading regimes, contamination control measures in workplaces from which packages are consigned, or they could relate to contamination control of packages themselves. If these fail, what are the potential consequences?</w:t>
            </w:r>
          </w:p>
        </w:tc>
      </w:tr>
      <w:tr w:rsidR="00FE1FEA" w:rsidRPr="00EB324F" w14:paraId="1E751795" w14:textId="77777777" w:rsidTr="00BA0058">
        <w:tc>
          <w:tcPr>
            <w:tcW w:w="469" w:type="pct"/>
            <w:shd w:val="clear" w:color="auto" w:fill="auto"/>
          </w:tcPr>
          <w:p w14:paraId="5EDFF531" w14:textId="4FE150A3" w:rsidR="00FE1FEA" w:rsidRPr="00BA0058" w:rsidRDefault="00FE1FEA" w:rsidP="00063CA8">
            <w:pPr>
              <w:spacing w:before="60" w:after="60"/>
              <w:rPr>
                <w:rFonts w:cs="Arial"/>
                <w:sz w:val="22"/>
                <w:szCs w:val="22"/>
              </w:rPr>
            </w:pPr>
            <w:r w:rsidRPr="00BA0058">
              <w:rPr>
                <w:rFonts w:cs="Arial"/>
                <w:sz w:val="22"/>
                <w:szCs w:val="22"/>
              </w:rPr>
              <w:t>(m)</w:t>
            </w:r>
          </w:p>
        </w:tc>
        <w:tc>
          <w:tcPr>
            <w:tcW w:w="1258" w:type="pct"/>
            <w:shd w:val="clear" w:color="auto" w:fill="auto"/>
          </w:tcPr>
          <w:p w14:paraId="50CE47E2" w14:textId="3A936D72" w:rsidR="00FE1FEA" w:rsidRPr="00BA0058" w:rsidRDefault="00FE1FEA" w:rsidP="00063CA8">
            <w:pPr>
              <w:spacing w:before="60" w:after="60"/>
              <w:rPr>
                <w:rFonts w:cs="Arial"/>
                <w:sz w:val="22"/>
                <w:szCs w:val="22"/>
              </w:rPr>
            </w:pPr>
            <w:r w:rsidRPr="00BA0058">
              <w:rPr>
                <w:sz w:val="22"/>
                <w:szCs w:val="22"/>
              </w:rPr>
              <w:t>Steps to prevent identified accidents, or limit their consequences</w:t>
            </w:r>
          </w:p>
        </w:tc>
        <w:tc>
          <w:tcPr>
            <w:tcW w:w="3273" w:type="pct"/>
          </w:tcPr>
          <w:p w14:paraId="7B7E494A" w14:textId="45F1D108" w:rsidR="00FE1FEA" w:rsidRPr="00BA0058" w:rsidRDefault="00AF3EE5" w:rsidP="00063CA8">
            <w:pPr>
              <w:spacing w:before="60" w:after="60"/>
              <w:rPr>
                <w:sz w:val="22"/>
                <w:szCs w:val="22"/>
              </w:rPr>
            </w:pPr>
            <w:r w:rsidRPr="00BA0058">
              <w:rPr>
                <w:sz w:val="22"/>
                <w:szCs w:val="22"/>
              </w:rPr>
              <w:t>I</w:t>
            </w:r>
            <w:r w:rsidR="00FE1FEA" w:rsidRPr="00BA0058">
              <w:rPr>
                <w:sz w:val="22"/>
                <w:szCs w:val="22"/>
              </w:rPr>
              <w:t>nclude details of mitigating measures in place to prevent identified accidents, or limit consequences. Examples include contamination monitoring of packages and measurement of radiation dose rates around packages, correctly assigning Transport Index, and monitoring around vehicles. Training of drivers, carrying of suitable emergency kit, and us</w:t>
            </w:r>
            <w:r w:rsidR="00DC015D" w:rsidRPr="00BA0058">
              <w:rPr>
                <w:sz w:val="22"/>
                <w:szCs w:val="22"/>
              </w:rPr>
              <w:t>e</w:t>
            </w:r>
            <w:r w:rsidR="00FE1FEA" w:rsidRPr="00BA0058">
              <w:rPr>
                <w:sz w:val="22"/>
                <w:szCs w:val="22"/>
              </w:rPr>
              <w:t xml:space="preserve"> of well</w:t>
            </w:r>
            <w:r w:rsidR="00126624" w:rsidRPr="00BA0058">
              <w:rPr>
                <w:sz w:val="22"/>
                <w:szCs w:val="22"/>
              </w:rPr>
              <w:t>-</w:t>
            </w:r>
            <w:r w:rsidR="00FE1FEA" w:rsidRPr="00BA0058">
              <w:rPr>
                <w:sz w:val="22"/>
                <w:szCs w:val="22"/>
              </w:rPr>
              <w:t>maintained vehicles, all have the potential to prevent or limit the consequences of accidents. This list is not exhaustive.</w:t>
            </w:r>
          </w:p>
          <w:p w14:paraId="14A87AA0" w14:textId="2353635E" w:rsidR="00A952CD" w:rsidRPr="00BA0058" w:rsidRDefault="00FF1157" w:rsidP="00063CA8">
            <w:pPr>
              <w:spacing w:before="60" w:after="60"/>
              <w:rPr>
                <w:rFonts w:cs="Arial"/>
                <w:sz w:val="22"/>
                <w:szCs w:val="22"/>
              </w:rPr>
            </w:pPr>
            <w:r w:rsidRPr="00BA0058">
              <w:rPr>
                <w:rFonts w:cs="Arial"/>
                <w:sz w:val="22"/>
                <w:szCs w:val="22"/>
              </w:rPr>
              <w:t>Include any security aspects such as vehicle security, tracking of packages/vehicles, escorts and/or camera systems.</w:t>
            </w:r>
          </w:p>
        </w:tc>
      </w:tr>
    </w:tbl>
    <w:p w14:paraId="09C47856" w14:textId="42282B13" w:rsidR="003F650D" w:rsidRDefault="0079753F" w:rsidP="00BA0058">
      <w:pPr>
        <w:pStyle w:val="NumberedParagraph"/>
      </w:pPr>
      <w:r>
        <w:t xml:space="preserve">Having given due consideration to these and any other relevant issues, employers should be </w:t>
      </w:r>
      <w:proofErr w:type="gramStart"/>
      <w:r>
        <w:t>in a position</w:t>
      </w:r>
      <w:proofErr w:type="gramEnd"/>
      <w:r>
        <w:t xml:space="preserve"> to decide on appropriate next steps on matters detailed in</w:t>
      </w:r>
      <w:r w:rsidR="00905CE5">
        <w:t xml:space="preserve"> IRR17</w:t>
      </w:r>
      <w:r>
        <w:t xml:space="preserve"> </w:t>
      </w:r>
      <w:proofErr w:type="spellStart"/>
      <w:r>
        <w:t>ACoP</w:t>
      </w:r>
      <w:proofErr w:type="spellEnd"/>
      <w:r>
        <w:t xml:space="preserve"> paragraph 71 (a) to (p), namely they must:</w:t>
      </w:r>
    </w:p>
    <w:p w14:paraId="56B8EF69" w14:textId="065DD9C1" w:rsidR="0079753F" w:rsidRDefault="0079753F" w:rsidP="00BA0058">
      <w:pPr>
        <w:pStyle w:val="NumberedParagraph"/>
        <w:numPr>
          <w:ilvl w:val="0"/>
          <w:numId w:val="26"/>
        </w:numPr>
      </w:pPr>
      <w:r>
        <w:t>Specify and take all actions needed to make sure the radiation exposure of all people is kept ALARP (Reg 9(1)).</w:t>
      </w:r>
    </w:p>
    <w:p w14:paraId="4758EE33" w14:textId="3C3D42D9" w:rsidR="0079753F" w:rsidRDefault="0079753F" w:rsidP="00BA0058">
      <w:pPr>
        <w:pStyle w:val="NumberedParagraph"/>
        <w:numPr>
          <w:ilvl w:val="0"/>
          <w:numId w:val="26"/>
        </w:numPr>
      </w:pPr>
      <w:r>
        <w:t xml:space="preserve">Introduce the steps necessary to achieve control of exposure </w:t>
      </w:r>
      <w:proofErr w:type="gramStart"/>
      <w:r>
        <w:t>by the use of</w:t>
      </w:r>
      <w:proofErr w:type="gramEnd"/>
      <w:r>
        <w:t xml:space="preserve"> engineering controls, design features, safety devices and warning devices, and in addition develop systems of work (Reg 9(2)(a) and (b)).</w:t>
      </w:r>
    </w:p>
    <w:p w14:paraId="39B70766" w14:textId="153A5993" w:rsidR="0079753F" w:rsidRDefault="0079753F" w:rsidP="00BA0058">
      <w:pPr>
        <w:pStyle w:val="NumberedParagraph"/>
        <w:numPr>
          <w:ilvl w:val="0"/>
          <w:numId w:val="26"/>
        </w:numPr>
      </w:pPr>
      <w:r>
        <w:t>Provide any necessary PPE (Reg 9(2)(c)).</w:t>
      </w:r>
    </w:p>
    <w:p w14:paraId="3DA3AAF9" w14:textId="7A8B0E9A" w:rsidR="0079753F" w:rsidRDefault="0079753F" w:rsidP="00BA0058">
      <w:pPr>
        <w:pStyle w:val="NumberedParagraph"/>
        <w:numPr>
          <w:ilvl w:val="0"/>
          <w:numId w:val="26"/>
        </w:numPr>
      </w:pPr>
      <w:r>
        <w:t>Establish any appropriate dose constraints for planning or design purposes (Reg 9(4)).</w:t>
      </w:r>
    </w:p>
    <w:p w14:paraId="7CDB04EF" w14:textId="43BC1E9C" w:rsidR="0079753F" w:rsidRDefault="0079753F" w:rsidP="00BA0058">
      <w:pPr>
        <w:pStyle w:val="NumberedParagraph"/>
        <w:numPr>
          <w:ilvl w:val="0"/>
          <w:numId w:val="26"/>
        </w:numPr>
      </w:pPr>
      <w:r>
        <w:t>Alter working conditions as necessary for any pregnant or breastfeeding employee (Reg 9(6)).</w:t>
      </w:r>
    </w:p>
    <w:p w14:paraId="79595129" w14:textId="22EF1978" w:rsidR="0079753F" w:rsidRDefault="0079753F" w:rsidP="00BA0058">
      <w:pPr>
        <w:pStyle w:val="NumberedParagraph"/>
        <w:numPr>
          <w:ilvl w:val="0"/>
          <w:numId w:val="26"/>
        </w:numPr>
      </w:pPr>
      <w:r>
        <w:t>Introduce an appropriate dose investigation level as an ALARP tool (Reg 9(8)).</w:t>
      </w:r>
    </w:p>
    <w:p w14:paraId="70ACCC9A" w14:textId="49B0DF6B" w:rsidR="0079753F" w:rsidRDefault="0079753F" w:rsidP="00BA0058">
      <w:pPr>
        <w:pStyle w:val="NumberedParagraph"/>
        <w:numPr>
          <w:ilvl w:val="0"/>
          <w:numId w:val="26"/>
        </w:numPr>
      </w:pPr>
      <w:r>
        <w:t>Develop maintenance and testing schedules required for the control measures selected (Reg 11).</w:t>
      </w:r>
    </w:p>
    <w:p w14:paraId="3032176C" w14:textId="2177E902" w:rsidR="0079753F" w:rsidRDefault="0079753F" w:rsidP="00BA0058">
      <w:pPr>
        <w:pStyle w:val="NumberedParagraph"/>
        <w:numPr>
          <w:ilvl w:val="0"/>
          <w:numId w:val="26"/>
        </w:numPr>
      </w:pPr>
      <w:r>
        <w:t>Prepare contingency plans for reasonably foreseeable accidents (Reg 13)</w:t>
      </w:r>
      <w:r w:rsidR="00A952CD">
        <w:t>.</w:t>
      </w:r>
    </w:p>
    <w:p w14:paraId="0CB95E3C" w14:textId="1032C31A" w:rsidR="0079753F" w:rsidRDefault="0079753F" w:rsidP="00BA0058">
      <w:pPr>
        <w:pStyle w:val="NumberedParagraph"/>
        <w:numPr>
          <w:ilvl w:val="0"/>
          <w:numId w:val="26"/>
        </w:numPr>
      </w:pPr>
      <w:r>
        <w:t>Determine training needs of classified and non-classified employees (Reg15).</w:t>
      </w:r>
    </w:p>
    <w:p w14:paraId="63C89D5E" w14:textId="067379F7" w:rsidR="00A952CD" w:rsidRDefault="0079753F" w:rsidP="00BA0058">
      <w:pPr>
        <w:pStyle w:val="NumberedParagraph"/>
        <w:numPr>
          <w:ilvl w:val="0"/>
          <w:numId w:val="26"/>
        </w:numPr>
      </w:pPr>
      <w:r>
        <w:t xml:space="preserve">Designate specific areas as controlled or supervised and to specify local rules (Regs 17 and 18). This should include the designation of the load compartment of the vehicle whilst transporting radioactive material or the need to designate areas </w:t>
      </w:r>
      <w:proofErr w:type="gramStart"/>
      <w:r>
        <w:t>as a result of</w:t>
      </w:r>
      <w:proofErr w:type="gramEnd"/>
      <w:r>
        <w:t xml:space="preserve"> an accident arising during carriage where relevant</w:t>
      </w:r>
      <w:r w:rsidRPr="00652903">
        <w:t>.</w:t>
      </w:r>
      <w:r w:rsidR="00A952CD" w:rsidRPr="00652903">
        <w:t xml:space="preserve"> </w:t>
      </w:r>
      <w:r w:rsidR="005C05C0" w:rsidRPr="00652903">
        <w:t>It may also include the cab of the vehicle during carriage depending on the dose rate. If a consignor identifies that a</w:t>
      </w:r>
      <w:r w:rsidR="00C95F35">
        <w:t xml:space="preserve">n area within </w:t>
      </w:r>
      <w:r w:rsidR="0039448C">
        <w:t xml:space="preserve">or around </w:t>
      </w:r>
      <w:r w:rsidR="00C95F35">
        <w:t xml:space="preserve">a vehicle </w:t>
      </w:r>
      <w:r w:rsidR="005C05C0" w:rsidRPr="00652903">
        <w:t xml:space="preserve">would potentially need to be </w:t>
      </w:r>
      <w:proofErr w:type="gramStart"/>
      <w:r w:rsidR="005C05C0" w:rsidRPr="00652903">
        <w:t>designated</w:t>
      </w:r>
      <w:proofErr w:type="gramEnd"/>
      <w:r w:rsidR="005C05C0" w:rsidRPr="00652903">
        <w:t xml:space="preserve"> then this information should be pro-actively provided to all relevant carrier </w:t>
      </w:r>
      <w:proofErr w:type="spellStart"/>
      <w:r w:rsidR="005C05C0" w:rsidRPr="00652903">
        <w:t>dutyholders</w:t>
      </w:r>
      <w:proofErr w:type="spellEnd"/>
      <w:r w:rsidR="005C05C0" w:rsidRPr="00652903">
        <w:t>.</w:t>
      </w:r>
    </w:p>
    <w:p w14:paraId="065FB826" w14:textId="171AB114" w:rsidR="0079753F" w:rsidRDefault="0079753F" w:rsidP="00BA0058">
      <w:pPr>
        <w:pStyle w:val="NumberedParagraph"/>
        <w:numPr>
          <w:ilvl w:val="0"/>
          <w:numId w:val="26"/>
        </w:numPr>
      </w:pPr>
      <w:r>
        <w:t>Restrict access and implement other measures required for controlled/supervised areas (Reg 19).</w:t>
      </w:r>
    </w:p>
    <w:p w14:paraId="21282CE0" w14:textId="76081684" w:rsidR="0079753F" w:rsidRDefault="0079753F" w:rsidP="00BA0058">
      <w:pPr>
        <w:pStyle w:val="NumberedParagraph"/>
        <w:numPr>
          <w:ilvl w:val="0"/>
          <w:numId w:val="26"/>
        </w:numPr>
      </w:pPr>
      <w:r>
        <w:t>Determine who, if any, will be classified persons (Reg 21).</w:t>
      </w:r>
    </w:p>
    <w:p w14:paraId="5E263C59" w14:textId="2F54C662" w:rsidR="0079753F" w:rsidRDefault="0079753F" w:rsidP="00BA0058">
      <w:pPr>
        <w:pStyle w:val="NumberedParagraph"/>
        <w:numPr>
          <w:ilvl w:val="0"/>
          <w:numId w:val="26"/>
        </w:numPr>
      </w:pPr>
      <w:r>
        <w:t>Introduce a suitable programme of dose assessment for certain employees (those that are</w:t>
      </w:r>
      <w:r w:rsidR="007716EA">
        <w:t xml:space="preserve"> </w:t>
      </w:r>
      <w:r>
        <w:t>classified, and those entering controlled areas) (Regs 19 and 22).</w:t>
      </w:r>
    </w:p>
    <w:p w14:paraId="7BE61199" w14:textId="624B5DF7" w:rsidR="0079753F" w:rsidRDefault="0079753F" w:rsidP="00BA0058">
      <w:pPr>
        <w:pStyle w:val="NumberedParagraph"/>
        <w:numPr>
          <w:ilvl w:val="0"/>
          <w:numId w:val="26"/>
        </w:numPr>
      </w:pPr>
      <w:r>
        <w:t>Decide whether there are any sources requiring leak testing (Reg 28).</w:t>
      </w:r>
    </w:p>
    <w:p w14:paraId="1C125427" w14:textId="0060A7B3" w:rsidR="0079753F" w:rsidRDefault="0079753F" w:rsidP="00BA0058">
      <w:pPr>
        <w:pStyle w:val="NumberedParagraph"/>
        <w:numPr>
          <w:ilvl w:val="0"/>
          <w:numId w:val="26"/>
        </w:numPr>
      </w:pPr>
      <w:r>
        <w:t>Allocate responsibilities to managers and workers (including outside workers) as appropriate for compliance with IRR17.</w:t>
      </w:r>
    </w:p>
    <w:p w14:paraId="72BD7E26" w14:textId="170E1EC6" w:rsidR="0079753F" w:rsidRDefault="0079753F" w:rsidP="00BA0058">
      <w:pPr>
        <w:pStyle w:val="NumberedParagraph"/>
        <w:numPr>
          <w:ilvl w:val="0"/>
          <w:numId w:val="26"/>
        </w:numPr>
      </w:pPr>
      <w:r>
        <w:t>Develop a programme of monitoring or auditing of arrangements to check IRR17 requirements are being met.</w:t>
      </w:r>
    </w:p>
    <w:p w14:paraId="3C192322" w14:textId="2610CE71" w:rsidR="0079753F" w:rsidRDefault="0079753F" w:rsidP="00BA0058">
      <w:pPr>
        <w:pStyle w:val="NumberedParagraph"/>
      </w:pPr>
      <w:r>
        <w:t>Relevant action should be taken ahead of transport commencing.</w:t>
      </w:r>
    </w:p>
    <w:p w14:paraId="6DCC7FF1" w14:textId="09520A7B" w:rsidR="0079753F" w:rsidRDefault="0079753F" w:rsidP="00BA0058">
      <w:pPr>
        <w:pStyle w:val="Heading2"/>
      </w:pPr>
      <w:r>
        <w:t xml:space="preserve">Further </w:t>
      </w:r>
      <w:r w:rsidR="00BA0058">
        <w:t>i</w:t>
      </w:r>
      <w:r>
        <w:t xml:space="preserve">mportant </w:t>
      </w:r>
      <w:r w:rsidR="00BA0058">
        <w:t>i</w:t>
      </w:r>
      <w:r>
        <w:t>nformation</w:t>
      </w:r>
    </w:p>
    <w:p w14:paraId="05969A03" w14:textId="37A8E8B3" w:rsidR="0079753F" w:rsidRDefault="0079753F" w:rsidP="00BA0058">
      <w:pPr>
        <w:pStyle w:val="NumberedParagraph"/>
      </w:pPr>
      <w:r>
        <w:t xml:space="preserve">There is a requirement for the employer to consult with a suitable Radiation Protection Adviser (RPA) about the matters to be considered as part of the </w:t>
      </w:r>
      <w:r w:rsidR="00E22266">
        <w:t>RRA</w:t>
      </w:r>
      <w:r>
        <w:t xml:space="preserve"> process [IRR17, Regulation 14 refers as does </w:t>
      </w:r>
      <w:proofErr w:type="spellStart"/>
      <w:r>
        <w:t>ACoP</w:t>
      </w:r>
      <w:proofErr w:type="spellEnd"/>
      <w:r>
        <w:t xml:space="preserve"> para 249 and guidance in para 72] and for appropriate action to be taken in relation to its findings ahead of transport commencing. </w:t>
      </w:r>
    </w:p>
    <w:p w14:paraId="132E6596" w14:textId="5839FA85" w:rsidR="0079753F" w:rsidRDefault="0079753F" w:rsidP="00BA0058">
      <w:pPr>
        <w:pStyle w:val="NumberedParagraph"/>
      </w:pPr>
      <w:r>
        <w:t xml:space="preserve">Not all IRR17 requirements relevant to transporting radioactive material are addressed through the </w:t>
      </w:r>
      <w:r w:rsidR="00B95A3B">
        <w:t>RRA</w:t>
      </w:r>
      <w:r>
        <w:t xml:space="preserve"> process. </w:t>
      </w:r>
      <w:r w:rsidR="002B1C4A">
        <w:t>For example</w:t>
      </w:r>
      <w:r w:rsidR="005959C2">
        <w:t>,</w:t>
      </w:r>
      <w:r>
        <w:t xml:space="preserve"> compliance with </w:t>
      </w:r>
      <w:r w:rsidR="00303284">
        <w:t>R</w:t>
      </w:r>
      <w:r>
        <w:t>egulations 6 (registration of certain practices</w:t>
      </w:r>
      <w:r w:rsidR="002E46CD">
        <w:t>)</w:t>
      </w:r>
      <w:r>
        <w:t>, 7 (consent to carry out specified practices) and 31 (notification of certain occurrences). This list is not exhaustive.</w:t>
      </w:r>
    </w:p>
    <w:p w14:paraId="75FBF119" w14:textId="04FC0833" w:rsidR="0079753F" w:rsidRDefault="0079753F" w:rsidP="00BA0058">
      <w:pPr>
        <w:pStyle w:val="NumberedParagraph"/>
      </w:pPr>
      <w:r w:rsidRPr="0079753F">
        <w:rPr>
          <w:rStyle w:val="NumberedParagraphChar"/>
        </w:rPr>
        <w:t>A suitable RPA will be able to provide any further advice in relation to IRR17 compliance.</w:t>
      </w:r>
    </w:p>
    <w:p w14:paraId="0482C009" w14:textId="434CB667" w:rsidR="0079753F" w:rsidRDefault="0079753F" w:rsidP="00BA0058">
      <w:pPr>
        <w:pStyle w:val="NumberedParagraph"/>
      </w:pPr>
      <w:r>
        <w:t xml:space="preserve">The significant findings of a </w:t>
      </w:r>
      <w:r w:rsidR="00B95A3B">
        <w:t>RRA</w:t>
      </w:r>
      <w:r>
        <w:t xml:space="preserve"> must be recorded where the duty holder has </w:t>
      </w:r>
      <w:r w:rsidR="00BE4011">
        <w:t>five</w:t>
      </w:r>
      <w:r>
        <w:t xml:space="preserve"> or more employees. ONR expects the employer to be conversant </w:t>
      </w:r>
      <w:proofErr w:type="gramStart"/>
      <w:r>
        <w:t>with, and</w:t>
      </w:r>
      <w:proofErr w:type="gramEnd"/>
      <w:r>
        <w:t xml:space="preserve"> explain at any inspection the </w:t>
      </w:r>
      <w:r w:rsidR="00B95A3B">
        <w:t>RRA</w:t>
      </w:r>
      <w:r>
        <w:t xml:space="preserve"> findings that were significant, so for practical reasons it may help to record this information to demonstrate compliance. [Further guidance is contained in paragraph 77 of L121.] </w:t>
      </w:r>
    </w:p>
    <w:p w14:paraId="498D9630" w14:textId="45865188" w:rsidR="0079753F" w:rsidRDefault="0079753F" w:rsidP="00BA0058">
      <w:pPr>
        <w:pStyle w:val="NumberedParagraph"/>
      </w:pPr>
      <w:r>
        <w:t xml:space="preserve">Where an employer develops a RRA for a particular set of transport circumstances </w:t>
      </w:r>
      <w:proofErr w:type="gramStart"/>
      <w:r>
        <w:t>i.e.</w:t>
      </w:r>
      <w:proofErr w:type="gramEnd"/>
      <w:r>
        <w:t xml:space="preserve"> a given number of a certain package type for instance, there needs to be a means of readily identifying when those circumstances are not met so that the required RRA can be developed, and action taken accordingly, ahead of transport.</w:t>
      </w:r>
    </w:p>
    <w:p w14:paraId="0B72BBED" w14:textId="041DDBEF" w:rsidR="0079753F" w:rsidRDefault="00261D73" w:rsidP="00BA0058">
      <w:pPr>
        <w:pStyle w:val="NumberedParagraph"/>
      </w:pPr>
      <w:r>
        <w:t>RRAs</w:t>
      </w:r>
      <w:r w:rsidR="0079753F">
        <w:t xml:space="preserve"> must be reviewed periodically, and where work changes, and revised as necessary. [Further guidance is contained in paragraph 78 to 81 of L121.] A prompt for the review process may usefully sit within an employer’s management arrangements or system. </w:t>
      </w:r>
    </w:p>
    <w:p w14:paraId="75FA8771" w14:textId="77777777" w:rsidR="00417828" w:rsidRDefault="00417828" w:rsidP="00BA0058">
      <w:pPr>
        <w:pStyle w:val="NumberedParagraph"/>
        <w:numPr>
          <w:ilvl w:val="0"/>
          <w:numId w:val="0"/>
        </w:numPr>
        <w:ind w:left="792"/>
      </w:pPr>
    </w:p>
    <w:bookmarkStart w:id="3" w:name="_Toc95398344" w:displacedByCustomXml="next"/>
    <w:sdt>
      <w:sdtPr>
        <w:rPr>
          <w:rFonts w:cs="Times New Roman"/>
          <w:bCs w:val="0"/>
          <w:sz w:val="24"/>
          <w:szCs w:val="24"/>
        </w:rPr>
        <w:id w:val="860471275"/>
        <w:docPartObj>
          <w:docPartGallery w:val="Bibliographies"/>
          <w:docPartUnique/>
        </w:docPartObj>
      </w:sdtPr>
      <w:sdtEndPr/>
      <w:sdtContent>
        <w:p w14:paraId="04C901FA" w14:textId="69F5E6D1" w:rsidR="00EB324F" w:rsidRDefault="00EB324F" w:rsidP="00BA0058">
          <w:pPr>
            <w:pStyle w:val="Heading1"/>
            <w:numPr>
              <w:ilvl w:val="0"/>
              <w:numId w:val="0"/>
            </w:numPr>
            <w:ind w:left="851" w:hanging="851"/>
          </w:pPr>
          <w:r>
            <w:t>References</w:t>
          </w:r>
          <w:bookmarkEnd w:id="3"/>
        </w:p>
        <w:sdt>
          <w:sdtPr>
            <w:id w:val="-573587230"/>
            <w:bibliography/>
          </w:sdtPr>
          <w:sdtEndPr/>
          <w:sdtContent>
            <w:p w14:paraId="241E374B" w14:textId="77777777" w:rsidR="00BA0058" w:rsidRDefault="00EB324F">
              <w:pPr>
                <w:rPr>
                  <w:rFonts w:ascii="Times New Roman" w:hAnsi="Times New Roman"/>
                  <w:noProof/>
                  <w:sz w:val="20"/>
                  <w:szCs w:val="20"/>
                  <w:lang w:eastAsia="en-GB"/>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8684"/>
              </w:tblGrid>
              <w:tr w:rsidR="00BA0058" w14:paraId="435D01DC" w14:textId="77777777">
                <w:trPr>
                  <w:divId w:val="954990633"/>
                  <w:tblCellSpacing w:w="15" w:type="dxa"/>
                </w:trPr>
                <w:tc>
                  <w:tcPr>
                    <w:tcW w:w="50" w:type="pct"/>
                    <w:hideMark/>
                  </w:tcPr>
                  <w:p w14:paraId="1A399055" w14:textId="255E0CCF" w:rsidR="00BA0058" w:rsidRDefault="00BA0058" w:rsidP="00BA0058">
                    <w:pPr>
                      <w:pStyle w:val="Bibliography"/>
                      <w:spacing w:before="0" w:line="240" w:lineRule="auto"/>
                      <w:rPr>
                        <w:noProof/>
                      </w:rPr>
                    </w:pPr>
                    <w:r>
                      <w:rPr>
                        <w:noProof/>
                      </w:rPr>
                      <w:t xml:space="preserve">[1] </w:t>
                    </w:r>
                  </w:p>
                </w:tc>
                <w:tc>
                  <w:tcPr>
                    <w:tcW w:w="0" w:type="auto"/>
                    <w:hideMark/>
                  </w:tcPr>
                  <w:p w14:paraId="2D62D39D" w14:textId="77777777" w:rsidR="00BA0058" w:rsidRDefault="00BA0058" w:rsidP="00BA0058">
                    <w:pPr>
                      <w:pStyle w:val="Bibliography"/>
                      <w:spacing w:before="0" w:line="240" w:lineRule="auto"/>
                      <w:rPr>
                        <w:noProof/>
                      </w:rPr>
                    </w:pPr>
                    <w:r>
                      <w:rPr>
                        <w:i/>
                        <w:iCs/>
                        <w:noProof/>
                      </w:rPr>
                      <w:t xml:space="preserve">Work with ionising radiation, Ionising Radiations Regulations 2017, Approved Code of Pratice and Guidance, </w:t>
                    </w:r>
                    <w:r>
                      <w:rPr>
                        <w:noProof/>
                      </w:rPr>
                      <w:t xml:space="preserve">Health and Safety Executive, 2018. </w:t>
                    </w:r>
                  </w:p>
                </w:tc>
              </w:tr>
              <w:tr w:rsidR="00BA0058" w14:paraId="45AAD92D" w14:textId="77777777">
                <w:trPr>
                  <w:divId w:val="954990633"/>
                  <w:tblCellSpacing w:w="15" w:type="dxa"/>
                </w:trPr>
                <w:tc>
                  <w:tcPr>
                    <w:tcW w:w="50" w:type="pct"/>
                    <w:hideMark/>
                  </w:tcPr>
                  <w:p w14:paraId="621D4071" w14:textId="77777777" w:rsidR="00BA0058" w:rsidRDefault="00BA0058" w:rsidP="00BA0058">
                    <w:pPr>
                      <w:pStyle w:val="Bibliography"/>
                      <w:spacing w:before="0" w:line="240" w:lineRule="auto"/>
                      <w:rPr>
                        <w:noProof/>
                      </w:rPr>
                    </w:pPr>
                    <w:r>
                      <w:rPr>
                        <w:noProof/>
                      </w:rPr>
                      <w:t xml:space="preserve">[2] </w:t>
                    </w:r>
                  </w:p>
                </w:tc>
                <w:tc>
                  <w:tcPr>
                    <w:tcW w:w="0" w:type="auto"/>
                    <w:hideMark/>
                  </w:tcPr>
                  <w:p w14:paraId="173E21FE" w14:textId="77777777" w:rsidR="00BA0058" w:rsidRDefault="00BA0058" w:rsidP="00BA0058">
                    <w:pPr>
                      <w:pStyle w:val="Bibliography"/>
                      <w:spacing w:before="0" w:line="240" w:lineRule="auto"/>
                      <w:rPr>
                        <w:noProof/>
                      </w:rPr>
                    </w:pPr>
                    <w:r>
                      <w:rPr>
                        <w:i/>
                        <w:iCs/>
                        <w:noProof/>
                      </w:rPr>
                      <w:t xml:space="preserve">The Carriage of Dangerous Goods and Use of Transportable Pressure Equipment Regulations 2009, </w:t>
                    </w:r>
                    <w:r>
                      <w:rPr>
                        <w:noProof/>
                      </w:rPr>
                      <w:t xml:space="preserve">UK Government, 2009. </w:t>
                    </w:r>
                  </w:p>
                </w:tc>
              </w:tr>
              <w:tr w:rsidR="00BA0058" w14:paraId="2A872174" w14:textId="77777777">
                <w:trPr>
                  <w:divId w:val="954990633"/>
                  <w:tblCellSpacing w:w="15" w:type="dxa"/>
                </w:trPr>
                <w:tc>
                  <w:tcPr>
                    <w:tcW w:w="50" w:type="pct"/>
                    <w:hideMark/>
                  </w:tcPr>
                  <w:p w14:paraId="465A6D43" w14:textId="77777777" w:rsidR="00BA0058" w:rsidRDefault="00BA0058" w:rsidP="00BA0058">
                    <w:pPr>
                      <w:pStyle w:val="Bibliography"/>
                      <w:spacing w:before="0" w:line="240" w:lineRule="auto"/>
                      <w:rPr>
                        <w:noProof/>
                      </w:rPr>
                    </w:pPr>
                    <w:r>
                      <w:rPr>
                        <w:noProof/>
                      </w:rPr>
                      <w:t xml:space="preserve">[3] </w:t>
                    </w:r>
                  </w:p>
                </w:tc>
                <w:tc>
                  <w:tcPr>
                    <w:tcW w:w="0" w:type="auto"/>
                    <w:hideMark/>
                  </w:tcPr>
                  <w:p w14:paraId="161E7BFC" w14:textId="77777777" w:rsidR="00BA0058" w:rsidRDefault="00BA0058" w:rsidP="00BA0058">
                    <w:pPr>
                      <w:pStyle w:val="Bibliography"/>
                      <w:spacing w:before="0" w:line="240" w:lineRule="auto"/>
                      <w:rPr>
                        <w:noProof/>
                      </w:rPr>
                    </w:pPr>
                    <w:r>
                      <w:rPr>
                        <w:i/>
                        <w:iCs/>
                        <w:noProof/>
                      </w:rPr>
                      <w:t xml:space="preserve">Memorandum of Understanding between ONR and HSE on the effective regulation of the IRR17 in relation to the transport of radioactive material, </w:t>
                    </w:r>
                    <w:r>
                      <w:rPr>
                        <w:noProof/>
                      </w:rPr>
                      <w:t xml:space="preserve">ONR, 2021. </w:t>
                    </w:r>
                  </w:p>
                </w:tc>
              </w:tr>
              <w:tr w:rsidR="00BA0058" w14:paraId="16488D5A" w14:textId="77777777">
                <w:trPr>
                  <w:divId w:val="954990633"/>
                  <w:tblCellSpacing w:w="15" w:type="dxa"/>
                </w:trPr>
                <w:tc>
                  <w:tcPr>
                    <w:tcW w:w="50" w:type="pct"/>
                    <w:hideMark/>
                  </w:tcPr>
                  <w:p w14:paraId="1D1B2DBE" w14:textId="77777777" w:rsidR="00BA0058" w:rsidRDefault="00BA0058" w:rsidP="00BA0058">
                    <w:pPr>
                      <w:pStyle w:val="Bibliography"/>
                      <w:spacing w:before="0" w:line="240" w:lineRule="auto"/>
                      <w:rPr>
                        <w:noProof/>
                      </w:rPr>
                    </w:pPr>
                    <w:r>
                      <w:rPr>
                        <w:noProof/>
                      </w:rPr>
                      <w:t xml:space="preserve">[4] </w:t>
                    </w:r>
                  </w:p>
                </w:tc>
                <w:tc>
                  <w:tcPr>
                    <w:tcW w:w="0" w:type="auto"/>
                    <w:hideMark/>
                  </w:tcPr>
                  <w:p w14:paraId="36B69A41" w14:textId="77777777" w:rsidR="00BA0058" w:rsidRDefault="00BA0058" w:rsidP="00BA0058">
                    <w:pPr>
                      <w:pStyle w:val="Bibliography"/>
                      <w:spacing w:before="0" w:line="240" w:lineRule="auto"/>
                      <w:rPr>
                        <w:noProof/>
                      </w:rPr>
                    </w:pPr>
                    <w:r>
                      <w:rPr>
                        <w:i/>
                        <w:iCs/>
                        <w:noProof/>
                      </w:rPr>
                      <w:t xml:space="preserve">The Health and Safety (Enforcing Authority) Regulations 1998, </w:t>
                    </w:r>
                    <w:r>
                      <w:rPr>
                        <w:noProof/>
                      </w:rPr>
                      <w:t xml:space="preserve">UK Government, 1998. </w:t>
                    </w:r>
                  </w:p>
                </w:tc>
              </w:tr>
              <w:tr w:rsidR="00BA0058" w14:paraId="5716D57C" w14:textId="77777777">
                <w:trPr>
                  <w:divId w:val="954990633"/>
                  <w:tblCellSpacing w:w="15" w:type="dxa"/>
                </w:trPr>
                <w:tc>
                  <w:tcPr>
                    <w:tcW w:w="50" w:type="pct"/>
                    <w:hideMark/>
                  </w:tcPr>
                  <w:p w14:paraId="78637216" w14:textId="77777777" w:rsidR="00BA0058" w:rsidRDefault="00BA0058" w:rsidP="00BA0058">
                    <w:pPr>
                      <w:pStyle w:val="Bibliography"/>
                      <w:spacing w:before="0" w:line="240" w:lineRule="auto"/>
                      <w:rPr>
                        <w:noProof/>
                      </w:rPr>
                    </w:pPr>
                    <w:r>
                      <w:rPr>
                        <w:noProof/>
                      </w:rPr>
                      <w:t xml:space="preserve">[5] </w:t>
                    </w:r>
                  </w:p>
                </w:tc>
                <w:tc>
                  <w:tcPr>
                    <w:tcW w:w="0" w:type="auto"/>
                    <w:hideMark/>
                  </w:tcPr>
                  <w:p w14:paraId="1A1C9F45" w14:textId="77777777" w:rsidR="00BA0058" w:rsidRDefault="00BA0058" w:rsidP="00BA0058">
                    <w:pPr>
                      <w:pStyle w:val="Bibliography"/>
                      <w:spacing w:before="0" w:line="240" w:lineRule="auto"/>
                      <w:rPr>
                        <w:noProof/>
                      </w:rPr>
                    </w:pPr>
                    <w:r>
                      <w:rPr>
                        <w:i/>
                        <w:iCs/>
                        <w:noProof/>
                      </w:rPr>
                      <w:t xml:space="preserve">Transporting radioactive material - Guidance on radiation and contamination monitoring requirements, and determining a Transport index, </w:t>
                    </w:r>
                    <w:r>
                      <w:rPr>
                        <w:noProof/>
                      </w:rPr>
                      <w:t xml:space="preserve">ONR, 2016. </w:t>
                    </w:r>
                  </w:p>
                </w:tc>
              </w:tr>
            </w:tbl>
            <w:p w14:paraId="2E5D978F" w14:textId="28FE9EEC" w:rsidR="00EB324F" w:rsidRDefault="00EB324F">
              <w:r>
                <w:rPr>
                  <w:b/>
                  <w:bCs/>
                  <w:noProof/>
                </w:rPr>
                <w:fldChar w:fldCharType="end"/>
              </w:r>
            </w:p>
          </w:sdtContent>
        </w:sdt>
      </w:sdtContent>
    </w:sdt>
    <w:p w14:paraId="7B1E7DA4" w14:textId="4B237A82" w:rsidR="0063145C" w:rsidRPr="002050C1" w:rsidRDefault="0063145C" w:rsidP="0079753F">
      <w:pPr>
        <w:rPr>
          <w:rFonts w:cs="Arial"/>
        </w:rPr>
      </w:pPr>
    </w:p>
    <w:sectPr w:rsidR="0063145C" w:rsidRPr="002050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9294" w14:textId="77777777" w:rsidR="004608E1" w:rsidRDefault="004608E1" w:rsidP="002948CE">
      <w:pPr>
        <w:spacing w:before="0" w:after="0" w:line="240" w:lineRule="auto"/>
      </w:pPr>
      <w:r>
        <w:separator/>
      </w:r>
    </w:p>
  </w:endnote>
  <w:endnote w:type="continuationSeparator" w:id="0">
    <w:p w14:paraId="1E3C1094" w14:textId="77777777" w:rsidR="004608E1" w:rsidRDefault="004608E1" w:rsidP="002948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21D8" w14:textId="77777777" w:rsidR="005F7FF2" w:rsidRDefault="005F7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428"/>
      <w:gridCol w:w="2589"/>
      <w:gridCol w:w="3009"/>
    </w:tblGrid>
    <w:tr w:rsidR="00135CC2" w:rsidRPr="002050C1" w14:paraId="3B634248" w14:textId="77777777" w:rsidTr="005739E1">
      <w:trPr>
        <w:trHeight w:val="426"/>
      </w:trPr>
      <w:tc>
        <w:tcPr>
          <w:tcW w:w="1899" w:type="pct"/>
          <w:shd w:val="clear" w:color="auto" w:fill="auto"/>
        </w:tcPr>
        <w:p w14:paraId="78712D1B" w14:textId="53B4C674" w:rsidR="0063145C" w:rsidRPr="005739E1" w:rsidRDefault="005739E1" w:rsidP="00166615">
          <w:pPr>
            <w:pStyle w:val="Footer"/>
            <w:spacing w:before="60" w:after="60" w:line="264" w:lineRule="auto"/>
            <w:rPr>
              <w:bCs/>
              <w:color w:val="006D68"/>
              <w:sz w:val="20"/>
              <w:szCs w:val="20"/>
            </w:rPr>
          </w:pPr>
          <w:r w:rsidRPr="005739E1">
            <w:rPr>
              <w:bCs/>
              <w:color w:val="006D68"/>
              <w:sz w:val="20"/>
              <w:szCs w:val="20"/>
            </w:rPr>
            <w:t>ONR-DOC-TEMP-</w:t>
          </w:r>
          <w:r w:rsidR="00DB2E1A">
            <w:rPr>
              <w:bCs/>
              <w:color w:val="006D68"/>
              <w:sz w:val="20"/>
              <w:szCs w:val="20"/>
            </w:rPr>
            <w:t>181</w:t>
          </w:r>
          <w:r w:rsidRPr="005739E1">
            <w:rPr>
              <w:bCs/>
              <w:color w:val="006D68"/>
              <w:sz w:val="20"/>
              <w:szCs w:val="20"/>
            </w:rPr>
            <w:t xml:space="preserve"> (Issue </w:t>
          </w:r>
          <w:r w:rsidR="00DB2E1A">
            <w:rPr>
              <w:bCs/>
              <w:color w:val="006D68"/>
              <w:sz w:val="20"/>
              <w:szCs w:val="20"/>
            </w:rPr>
            <w:t>1.</w:t>
          </w:r>
          <w:r w:rsidR="00792C72">
            <w:rPr>
              <w:bCs/>
              <w:color w:val="006D68"/>
              <w:sz w:val="20"/>
              <w:szCs w:val="20"/>
            </w:rPr>
            <w:t>5</w:t>
          </w:r>
          <w:r w:rsidRPr="005739E1">
            <w:rPr>
              <w:bCs/>
              <w:color w:val="006D68"/>
              <w:sz w:val="20"/>
              <w:szCs w:val="20"/>
            </w:rPr>
            <w:t>)</w:t>
          </w:r>
        </w:p>
      </w:tc>
      <w:tc>
        <w:tcPr>
          <w:tcW w:w="1434" w:type="pct"/>
          <w:shd w:val="clear" w:color="auto" w:fill="auto"/>
        </w:tcPr>
        <w:p w14:paraId="28DC5521" w14:textId="52E830A7" w:rsidR="0063145C" w:rsidRPr="002050C1" w:rsidRDefault="0063145C" w:rsidP="00135CC2">
          <w:pPr>
            <w:pStyle w:val="Footer"/>
            <w:spacing w:before="60" w:after="60" w:line="264" w:lineRule="auto"/>
            <w:jc w:val="center"/>
            <w:rPr>
              <w:b/>
              <w:sz w:val="20"/>
              <w:szCs w:val="20"/>
            </w:rPr>
          </w:pPr>
        </w:p>
      </w:tc>
      <w:tc>
        <w:tcPr>
          <w:tcW w:w="1667" w:type="pct"/>
          <w:shd w:val="clear" w:color="auto" w:fill="auto"/>
        </w:tcPr>
        <w:p w14:paraId="27BA9141" w14:textId="77777777" w:rsidR="0063145C" w:rsidRPr="002050C1" w:rsidRDefault="0063145C" w:rsidP="00135CC2">
          <w:pPr>
            <w:pStyle w:val="Footer"/>
            <w:spacing w:before="60" w:after="60" w:line="264" w:lineRule="auto"/>
            <w:jc w:val="right"/>
            <w:rPr>
              <w:color w:val="006D68"/>
            </w:rPr>
          </w:pPr>
          <w:r w:rsidRPr="002050C1">
            <w:rPr>
              <w:color w:val="006D68"/>
            </w:rPr>
            <w:t xml:space="preserve">Page </w:t>
          </w:r>
          <w:r w:rsidRPr="002050C1">
            <w:rPr>
              <w:b/>
              <w:color w:val="006D68"/>
            </w:rPr>
            <w:fldChar w:fldCharType="begin"/>
          </w:r>
          <w:r w:rsidRPr="002050C1">
            <w:rPr>
              <w:b/>
              <w:color w:val="006D68"/>
            </w:rPr>
            <w:instrText xml:space="preserve"> PAGE  \* Arabic  \* MERGEFORMAT </w:instrText>
          </w:r>
          <w:r w:rsidRPr="002050C1">
            <w:rPr>
              <w:b/>
              <w:color w:val="006D68"/>
            </w:rPr>
            <w:fldChar w:fldCharType="separate"/>
          </w:r>
          <w:r w:rsidR="000B3536" w:rsidRPr="002050C1">
            <w:rPr>
              <w:b/>
              <w:noProof/>
              <w:color w:val="006D68"/>
            </w:rPr>
            <w:t>2</w:t>
          </w:r>
          <w:r w:rsidRPr="002050C1">
            <w:rPr>
              <w:b/>
              <w:color w:val="006D68"/>
            </w:rPr>
            <w:fldChar w:fldCharType="end"/>
          </w:r>
          <w:r w:rsidRPr="002050C1">
            <w:rPr>
              <w:color w:val="006D68"/>
            </w:rPr>
            <w:t xml:space="preserve"> of </w:t>
          </w:r>
          <w:r w:rsidRPr="002050C1">
            <w:rPr>
              <w:b/>
              <w:color w:val="006D68"/>
            </w:rPr>
            <w:fldChar w:fldCharType="begin"/>
          </w:r>
          <w:r w:rsidRPr="002050C1">
            <w:rPr>
              <w:b/>
              <w:color w:val="006D68"/>
            </w:rPr>
            <w:instrText xml:space="preserve"> NUMPAGES  \* Arabic  \* MERGEFORMAT </w:instrText>
          </w:r>
          <w:r w:rsidRPr="002050C1">
            <w:rPr>
              <w:b/>
              <w:color w:val="006D68"/>
            </w:rPr>
            <w:fldChar w:fldCharType="separate"/>
          </w:r>
          <w:r w:rsidR="000B3536" w:rsidRPr="002050C1">
            <w:rPr>
              <w:b/>
              <w:noProof/>
              <w:color w:val="006D68"/>
            </w:rPr>
            <w:t>4</w:t>
          </w:r>
          <w:r w:rsidRPr="002050C1">
            <w:rPr>
              <w:b/>
              <w:color w:val="006D68"/>
            </w:rPr>
            <w:fldChar w:fldCharType="end"/>
          </w:r>
        </w:p>
      </w:tc>
    </w:tr>
    <w:tr w:rsidR="005739E1" w:rsidRPr="002050C1" w14:paraId="5CE7FE47" w14:textId="77777777" w:rsidTr="005739E1">
      <w:trPr>
        <w:trHeight w:val="426"/>
      </w:trPr>
      <w:tc>
        <w:tcPr>
          <w:tcW w:w="1899" w:type="pct"/>
          <w:shd w:val="clear" w:color="auto" w:fill="auto"/>
        </w:tcPr>
        <w:p w14:paraId="26184E11" w14:textId="77777777" w:rsidR="005739E1" w:rsidRPr="005739E1" w:rsidRDefault="005739E1" w:rsidP="00166615">
          <w:pPr>
            <w:pStyle w:val="Footer"/>
            <w:spacing w:before="60" w:after="60" w:line="264" w:lineRule="auto"/>
            <w:rPr>
              <w:bCs/>
              <w:color w:val="006D68"/>
              <w:sz w:val="20"/>
              <w:szCs w:val="20"/>
            </w:rPr>
          </w:pPr>
        </w:p>
      </w:tc>
      <w:tc>
        <w:tcPr>
          <w:tcW w:w="1434" w:type="pct"/>
          <w:shd w:val="clear" w:color="auto" w:fill="auto"/>
        </w:tcPr>
        <w:p w14:paraId="0D77B919" w14:textId="77777777" w:rsidR="005739E1" w:rsidRPr="002050C1" w:rsidRDefault="005739E1" w:rsidP="00135CC2">
          <w:pPr>
            <w:pStyle w:val="Footer"/>
            <w:spacing w:before="60" w:after="60" w:line="264" w:lineRule="auto"/>
            <w:jc w:val="center"/>
            <w:rPr>
              <w:b/>
              <w:sz w:val="20"/>
              <w:szCs w:val="20"/>
            </w:rPr>
          </w:pPr>
        </w:p>
      </w:tc>
      <w:tc>
        <w:tcPr>
          <w:tcW w:w="1667" w:type="pct"/>
          <w:shd w:val="clear" w:color="auto" w:fill="auto"/>
        </w:tcPr>
        <w:p w14:paraId="45049C2B" w14:textId="77777777" w:rsidR="005739E1" w:rsidRPr="002050C1" w:rsidRDefault="005739E1" w:rsidP="00135CC2">
          <w:pPr>
            <w:pStyle w:val="Footer"/>
            <w:spacing w:before="60" w:after="60" w:line="264" w:lineRule="auto"/>
            <w:jc w:val="right"/>
            <w:rPr>
              <w:color w:val="006D68"/>
            </w:rPr>
          </w:pPr>
        </w:p>
      </w:tc>
    </w:tr>
  </w:tbl>
  <w:p w14:paraId="69F28B90" w14:textId="77777777" w:rsidR="0063145C" w:rsidRDefault="00631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428"/>
      <w:gridCol w:w="2589"/>
      <w:gridCol w:w="3009"/>
    </w:tblGrid>
    <w:tr w:rsidR="00BA0058" w:rsidRPr="002050C1" w14:paraId="75612DE2" w14:textId="77777777" w:rsidTr="00424571">
      <w:trPr>
        <w:trHeight w:val="426"/>
      </w:trPr>
      <w:tc>
        <w:tcPr>
          <w:tcW w:w="1899" w:type="pct"/>
          <w:shd w:val="clear" w:color="auto" w:fill="auto"/>
        </w:tcPr>
        <w:p w14:paraId="0CA73ADE" w14:textId="77777777" w:rsidR="00BA0058" w:rsidRPr="005739E1" w:rsidRDefault="00BA0058" w:rsidP="00BA0058">
          <w:pPr>
            <w:pStyle w:val="Footer"/>
            <w:spacing w:before="60" w:after="60" w:line="264" w:lineRule="auto"/>
            <w:rPr>
              <w:bCs/>
              <w:color w:val="006D68"/>
              <w:sz w:val="20"/>
              <w:szCs w:val="20"/>
            </w:rPr>
          </w:pPr>
          <w:r w:rsidRPr="005739E1">
            <w:rPr>
              <w:bCs/>
              <w:color w:val="006D68"/>
              <w:sz w:val="20"/>
              <w:szCs w:val="20"/>
            </w:rPr>
            <w:t>ONR-DOC-TEMP-</w:t>
          </w:r>
          <w:r>
            <w:rPr>
              <w:bCs/>
              <w:color w:val="006D68"/>
              <w:sz w:val="20"/>
              <w:szCs w:val="20"/>
            </w:rPr>
            <w:t>181</w:t>
          </w:r>
          <w:r w:rsidRPr="005739E1">
            <w:rPr>
              <w:bCs/>
              <w:color w:val="006D68"/>
              <w:sz w:val="20"/>
              <w:szCs w:val="20"/>
            </w:rPr>
            <w:t xml:space="preserve"> (Issue </w:t>
          </w:r>
          <w:r>
            <w:rPr>
              <w:bCs/>
              <w:color w:val="006D68"/>
              <w:sz w:val="20"/>
              <w:szCs w:val="20"/>
            </w:rPr>
            <w:t>1.5</w:t>
          </w:r>
          <w:r w:rsidRPr="005739E1">
            <w:rPr>
              <w:bCs/>
              <w:color w:val="006D68"/>
              <w:sz w:val="20"/>
              <w:szCs w:val="20"/>
            </w:rPr>
            <w:t>)</w:t>
          </w:r>
        </w:p>
      </w:tc>
      <w:tc>
        <w:tcPr>
          <w:tcW w:w="1434" w:type="pct"/>
          <w:shd w:val="clear" w:color="auto" w:fill="auto"/>
        </w:tcPr>
        <w:p w14:paraId="068A2181" w14:textId="77777777" w:rsidR="00BA0058" w:rsidRPr="002050C1" w:rsidRDefault="00BA0058" w:rsidP="00BA0058">
          <w:pPr>
            <w:pStyle w:val="Footer"/>
            <w:spacing w:before="60" w:after="60" w:line="264" w:lineRule="auto"/>
            <w:jc w:val="center"/>
            <w:rPr>
              <w:b/>
              <w:sz w:val="20"/>
              <w:szCs w:val="20"/>
            </w:rPr>
          </w:pPr>
        </w:p>
      </w:tc>
      <w:tc>
        <w:tcPr>
          <w:tcW w:w="1667" w:type="pct"/>
          <w:shd w:val="clear" w:color="auto" w:fill="auto"/>
        </w:tcPr>
        <w:p w14:paraId="7C3416F2" w14:textId="77777777" w:rsidR="00BA0058" w:rsidRPr="002050C1" w:rsidRDefault="00BA0058" w:rsidP="00BA0058">
          <w:pPr>
            <w:pStyle w:val="Footer"/>
            <w:spacing w:before="60" w:after="60" w:line="264" w:lineRule="auto"/>
            <w:jc w:val="right"/>
            <w:rPr>
              <w:color w:val="006D68"/>
            </w:rPr>
          </w:pPr>
          <w:r w:rsidRPr="002050C1">
            <w:rPr>
              <w:color w:val="006D68"/>
            </w:rPr>
            <w:t xml:space="preserve">Page </w:t>
          </w:r>
          <w:r w:rsidRPr="002050C1">
            <w:rPr>
              <w:b/>
              <w:color w:val="006D68"/>
            </w:rPr>
            <w:fldChar w:fldCharType="begin"/>
          </w:r>
          <w:r w:rsidRPr="002050C1">
            <w:rPr>
              <w:b/>
              <w:color w:val="006D68"/>
            </w:rPr>
            <w:instrText xml:space="preserve"> PAGE  \* Arabic  \* MERGEFORMAT </w:instrText>
          </w:r>
          <w:r w:rsidRPr="002050C1">
            <w:rPr>
              <w:b/>
              <w:color w:val="006D68"/>
            </w:rPr>
            <w:fldChar w:fldCharType="separate"/>
          </w:r>
          <w:r w:rsidRPr="002050C1">
            <w:rPr>
              <w:b/>
              <w:noProof/>
              <w:color w:val="006D68"/>
            </w:rPr>
            <w:t>2</w:t>
          </w:r>
          <w:r w:rsidRPr="002050C1">
            <w:rPr>
              <w:b/>
              <w:color w:val="006D68"/>
            </w:rPr>
            <w:fldChar w:fldCharType="end"/>
          </w:r>
          <w:r w:rsidRPr="002050C1">
            <w:rPr>
              <w:color w:val="006D68"/>
            </w:rPr>
            <w:t xml:space="preserve"> of </w:t>
          </w:r>
          <w:r w:rsidRPr="002050C1">
            <w:rPr>
              <w:b/>
              <w:color w:val="006D68"/>
            </w:rPr>
            <w:fldChar w:fldCharType="begin"/>
          </w:r>
          <w:r w:rsidRPr="002050C1">
            <w:rPr>
              <w:b/>
              <w:color w:val="006D68"/>
            </w:rPr>
            <w:instrText xml:space="preserve"> NUMPAGES  \* Arabic  \* MERGEFORMAT </w:instrText>
          </w:r>
          <w:r w:rsidRPr="002050C1">
            <w:rPr>
              <w:b/>
              <w:color w:val="006D68"/>
            </w:rPr>
            <w:fldChar w:fldCharType="separate"/>
          </w:r>
          <w:r w:rsidRPr="002050C1">
            <w:rPr>
              <w:b/>
              <w:noProof/>
              <w:color w:val="006D68"/>
            </w:rPr>
            <w:t>4</w:t>
          </w:r>
          <w:r w:rsidRPr="002050C1">
            <w:rPr>
              <w:b/>
              <w:color w:val="006D68"/>
            </w:rPr>
            <w:fldChar w:fldCharType="end"/>
          </w:r>
        </w:p>
      </w:tc>
    </w:tr>
  </w:tbl>
  <w:p w14:paraId="2F391E2B" w14:textId="77777777" w:rsidR="000E0CAF" w:rsidRDefault="000E0CAF" w:rsidP="000E0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5087" w14:textId="77777777" w:rsidR="004608E1" w:rsidRDefault="004608E1" w:rsidP="002948CE">
      <w:pPr>
        <w:spacing w:before="0" w:after="0" w:line="240" w:lineRule="auto"/>
      </w:pPr>
      <w:r>
        <w:separator/>
      </w:r>
    </w:p>
  </w:footnote>
  <w:footnote w:type="continuationSeparator" w:id="0">
    <w:p w14:paraId="02508EE6" w14:textId="77777777" w:rsidR="004608E1" w:rsidRDefault="004608E1" w:rsidP="002948CE">
      <w:pPr>
        <w:spacing w:before="0" w:after="0" w:line="240" w:lineRule="auto"/>
      </w:pPr>
      <w:r>
        <w:continuationSeparator/>
      </w:r>
    </w:p>
  </w:footnote>
  <w:footnote w:id="1">
    <w:p w14:paraId="357B5CC3" w14:textId="3932D76F" w:rsidR="00F80153" w:rsidRPr="00BA0058" w:rsidRDefault="00F80153" w:rsidP="00A34AF8">
      <w:pPr>
        <w:pStyle w:val="FootnoteText"/>
      </w:pPr>
      <w:r w:rsidRPr="00BA0058">
        <w:rPr>
          <w:rStyle w:val="FootnoteReference"/>
        </w:rPr>
        <w:footnoteRef/>
      </w:r>
      <w:r w:rsidRPr="00BA0058">
        <w:t xml:space="preserve"> Special Form is defined in</w:t>
      </w:r>
      <w:r w:rsidR="00A34AF8" w:rsidRPr="00BA0058">
        <w:t xml:space="preserve"> IAEA Specific Safety Requirements No. SSR-6 (Rev. 1) </w:t>
      </w:r>
      <w:r w:rsidRPr="00BA0058">
        <w:t>Regulations for the Safe Transport of Radioactive Material (2018 Edition)</w:t>
      </w:r>
      <w:r w:rsidR="00A34AF8" w:rsidRPr="00BA0058">
        <w:t xml:space="preserve">: </w:t>
      </w:r>
      <w:hyperlink r:id="rId1" w:history="1">
        <w:r w:rsidRPr="00BA0058">
          <w:rPr>
            <w:rStyle w:val="Hyperlink"/>
          </w:rPr>
          <w:t>https://www-pub.iaea.org/MTCD/Publications/PDF/PUB1798_web.pdf</w:t>
        </w:r>
      </w:hyperlink>
      <w:r w:rsidRPr="00BA0058">
        <w:t xml:space="preserve">. </w:t>
      </w:r>
    </w:p>
  </w:footnote>
  <w:footnote w:id="2">
    <w:p w14:paraId="5791C193" w14:textId="0A2742F8" w:rsidR="002F06D2" w:rsidRPr="00BA0058" w:rsidRDefault="002F06D2">
      <w:pPr>
        <w:pStyle w:val="FootnoteText"/>
      </w:pPr>
      <w:r w:rsidRPr="00BA0058">
        <w:rPr>
          <w:rStyle w:val="FootnoteReference"/>
        </w:rPr>
        <w:footnoteRef/>
      </w:r>
      <w:r w:rsidRPr="00BA0058">
        <w:t xml:space="preserve"> The definition of a radiation emergency includes serious consequences that might arise from exposure to radioactive material including consequences to human life, health and safety, quality of life, property and the environment. In most cases there are no serious radiological consequences at or below a threshold of an effective radiation dose of 1 mSv to any individual over a period of one year following the radiation emergency.  </w:t>
      </w:r>
    </w:p>
  </w:footnote>
  <w:footnote w:id="3">
    <w:p w14:paraId="04471350" w14:textId="4A279118" w:rsidR="008B7D97" w:rsidRPr="00BA0058" w:rsidRDefault="008B7D97" w:rsidP="008B7D97">
      <w:pPr>
        <w:spacing w:before="0" w:after="0" w:line="240" w:lineRule="auto"/>
        <w:rPr>
          <w:sz w:val="20"/>
          <w:szCs w:val="20"/>
        </w:rPr>
      </w:pPr>
      <w:r w:rsidRPr="00BA0058">
        <w:rPr>
          <w:rStyle w:val="FootnoteReference"/>
          <w:sz w:val="20"/>
          <w:szCs w:val="20"/>
        </w:rPr>
        <w:footnoteRef/>
      </w:r>
      <w:r w:rsidRPr="00BA0058">
        <w:rPr>
          <w:sz w:val="20"/>
          <w:szCs w:val="20"/>
        </w:rPr>
        <w:t xml:space="preserve"> CDG09 requires duty holders to make an adequate emergency plan for any radiation emergency identified by the duty holder’s IRR17 RRA. Where assessments identify that a radiation emergency is possible, an adequate emergency plan in accordance with Regulation 24 and Schedule 2 Part 1 of CDG09 is required. This plan must also meet the requirem</w:t>
      </w:r>
      <w:r w:rsidR="00D3582F" w:rsidRPr="00BA0058">
        <w:rPr>
          <w:sz w:val="20"/>
          <w:szCs w:val="20"/>
        </w:rPr>
        <w:t>ent</w:t>
      </w:r>
      <w:r w:rsidRPr="00BA0058">
        <w:rPr>
          <w:sz w:val="20"/>
          <w:szCs w:val="20"/>
        </w:rPr>
        <w:t xml:space="preserve">s of IRR17 Regulation 13 ‘Contingency plans’. Where assessments identify that a radiation emergency is not possible, there is no requirement for an emergency plan in accordance with Regulation 24 and Schedule 2 Part 1 of CDG09, however the requirements of IRR17 Regulation 13 ‘Contingency plans’ still apply. Where dutyholders are transporting a wide variety of radioactive material they may be required to produce both </w:t>
      </w:r>
      <w:r w:rsidR="00C91D44" w:rsidRPr="00BA0058">
        <w:rPr>
          <w:sz w:val="20"/>
          <w:szCs w:val="20"/>
        </w:rPr>
        <w:t xml:space="preserve">a </w:t>
      </w:r>
      <w:r w:rsidRPr="00BA0058">
        <w:rPr>
          <w:sz w:val="20"/>
          <w:szCs w:val="20"/>
        </w:rPr>
        <w:t xml:space="preserve">CDG09 emergency plan and </w:t>
      </w:r>
      <w:r w:rsidR="00C91D44" w:rsidRPr="00BA0058">
        <w:rPr>
          <w:sz w:val="20"/>
          <w:szCs w:val="20"/>
        </w:rPr>
        <w:t xml:space="preserve">an </w:t>
      </w:r>
      <w:r w:rsidRPr="00BA0058">
        <w:rPr>
          <w:sz w:val="20"/>
          <w:szCs w:val="20"/>
        </w:rPr>
        <w:t xml:space="preserve">IRR17 contingency plan. These can be included in a single document, but it should be made clear which plan relates to which packages. ONR’s transport emergency planning guidance </w:t>
      </w:r>
      <w:hyperlink r:id="rId2" w:history="1">
        <w:r w:rsidR="009C7C72" w:rsidRPr="00BA0058">
          <w:rPr>
            <w:rStyle w:val="Hyperlink"/>
            <w:sz w:val="20"/>
            <w:szCs w:val="20"/>
          </w:rPr>
          <w:t>http://www.onr.org.uk/transport/emergency-planning-notification-class-7.pdf</w:t>
        </w:r>
      </w:hyperlink>
      <w:r w:rsidR="009C7C72" w:rsidRPr="00BA0058">
        <w:rPr>
          <w:sz w:val="20"/>
          <w:szCs w:val="20"/>
        </w:rPr>
        <w:t xml:space="preserve"> </w:t>
      </w:r>
      <w:r w:rsidRPr="00BA0058">
        <w:rPr>
          <w:sz w:val="20"/>
          <w:szCs w:val="20"/>
        </w:rPr>
        <w:t xml:space="preserve">and </w:t>
      </w:r>
      <w:hyperlink r:id="rId3" w:history="1">
        <w:r w:rsidR="009C7C72" w:rsidRPr="00BA0058">
          <w:rPr>
            <w:rStyle w:val="Hyperlink"/>
            <w:sz w:val="20"/>
            <w:szCs w:val="20"/>
          </w:rPr>
          <w:t>http://www.onr.org.uk/transport/five-steps-transport-emergency-planning.pdf</w:t>
        </w:r>
      </w:hyperlink>
      <w:r w:rsidR="009C7C72" w:rsidRPr="00BA0058">
        <w:rPr>
          <w:sz w:val="20"/>
          <w:szCs w:val="20"/>
        </w:rPr>
        <w:t xml:space="preserve"> </w:t>
      </w:r>
      <w:r w:rsidRPr="00BA0058">
        <w:rPr>
          <w:sz w:val="20"/>
          <w:szCs w:val="20"/>
        </w:rPr>
        <w:t>refer.</w:t>
      </w:r>
    </w:p>
    <w:p w14:paraId="06DF2F0F" w14:textId="35BC8961" w:rsidR="008B7D97" w:rsidRDefault="008B7D97">
      <w:pPr>
        <w:pStyle w:val="FootnoteText"/>
      </w:pPr>
    </w:p>
  </w:footnote>
  <w:footnote w:id="4">
    <w:p w14:paraId="7B60A400" w14:textId="71AB5BDB" w:rsidR="00247F59" w:rsidRPr="00BA0058" w:rsidRDefault="00247F59" w:rsidP="00247F59">
      <w:pPr>
        <w:pStyle w:val="FootnoteText"/>
      </w:pPr>
      <w:r w:rsidRPr="00BA0058">
        <w:rPr>
          <w:rStyle w:val="FootnoteReference"/>
        </w:rPr>
        <w:footnoteRef/>
      </w:r>
      <w:r w:rsidRPr="00BA0058">
        <w:t xml:space="preserve"> ONR has historically received incident reports of Type B packages being transported whilst not correctly filled, manufactured/maintained</w:t>
      </w:r>
      <w:r w:rsidR="00367A18" w:rsidRPr="00BA0058">
        <w:t xml:space="preserve"> and </w:t>
      </w:r>
      <w:r w:rsidRPr="00BA0058">
        <w:t>assembled</w:t>
      </w:r>
      <w:r w:rsidR="00367A18" w:rsidRPr="00BA0058">
        <w:t xml:space="preserve">. Therefore, </w:t>
      </w:r>
      <w:r w:rsidRPr="00BA0058">
        <w:t>these aspects cannot be discounted. In addition, there is an understanding that the test conditions for package approvals do not cover all conceivable accident scenarios (IAEA SSG-26 Para 726.1) and that a level of content loss is allowable in a successful test (IAEA SSR-26 Para 659).</w:t>
      </w:r>
    </w:p>
    <w:p w14:paraId="34F5A437" w14:textId="45809CF8" w:rsidR="00247F59" w:rsidRDefault="00247F5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6D2C" w14:textId="77777777" w:rsidR="005F7FF2" w:rsidRDefault="005F7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5739E1" w14:paraId="775F52B6" w14:textId="77777777" w:rsidTr="00BA0058">
      <w:tc>
        <w:tcPr>
          <w:tcW w:w="4586" w:type="dxa"/>
          <w:shd w:val="clear" w:color="auto" w:fill="auto"/>
          <w:vAlign w:val="center"/>
        </w:tcPr>
        <w:p w14:paraId="46C0C801" w14:textId="77777777" w:rsidR="005739E1" w:rsidRPr="000E0CAF" w:rsidRDefault="005739E1" w:rsidP="005739E1">
          <w:pPr>
            <w:pStyle w:val="Header"/>
            <w:rPr>
              <w:sz w:val="18"/>
              <w:szCs w:val="18"/>
            </w:rPr>
          </w:pPr>
          <w:r>
            <w:rPr>
              <w:noProof/>
              <w:lang w:eastAsia="en-GB"/>
            </w:rPr>
            <w:drawing>
              <wp:inline distT="0" distB="0" distL="0" distR="0" wp14:anchorId="1EF5169E" wp14:editId="3B7160AC">
                <wp:extent cx="2524125" cy="533400"/>
                <wp:effectExtent l="0" t="0" r="9525"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440" w:type="dxa"/>
          <w:shd w:val="clear" w:color="auto" w:fill="auto"/>
          <w:vAlign w:val="center"/>
        </w:tcPr>
        <w:p w14:paraId="6CC5B28A" w14:textId="77777777" w:rsidR="005739E1" w:rsidRPr="00792C72" w:rsidRDefault="005739E1" w:rsidP="00792C72">
          <w:pPr>
            <w:spacing w:before="60" w:after="60"/>
            <w:jc w:val="right"/>
            <w:outlineLvl w:val="1"/>
            <w:rPr>
              <w:rFonts w:ascii="Times New Roman" w:hAnsi="Times New Roman"/>
              <w:bCs/>
              <w:iCs/>
              <w:kern w:val="36"/>
              <w:sz w:val="18"/>
              <w:szCs w:val="16"/>
            </w:rPr>
          </w:pPr>
          <w:r w:rsidRPr="00792C72">
            <w:rPr>
              <w:rFonts w:cs="Arial"/>
              <w:bCs/>
              <w:iCs/>
              <w:kern w:val="36"/>
              <w:sz w:val="18"/>
              <w:szCs w:val="16"/>
            </w:rPr>
            <w:t>© Office for Nuclear Regulation</w:t>
          </w:r>
          <w:r w:rsidRPr="00792C72">
            <w:rPr>
              <w:rFonts w:cs="Arial"/>
              <w:bCs/>
              <w:iCs/>
              <w:kern w:val="36"/>
              <w:sz w:val="18"/>
              <w:szCs w:val="16"/>
            </w:rPr>
            <w:br/>
          </w:r>
          <w:r w:rsidRPr="00792C72">
            <w:rPr>
              <w:rFonts w:cs="Arial"/>
              <w:b/>
              <w:bCs/>
              <w:iCs/>
              <w:kern w:val="36"/>
              <w:sz w:val="18"/>
              <w:szCs w:val="16"/>
            </w:rPr>
            <w:t>UNCONTROLLED WHEN PRINTED</w:t>
          </w:r>
          <w:r w:rsidRPr="00792C72">
            <w:rPr>
              <w:rFonts w:cs="Arial"/>
              <w:bCs/>
              <w:iCs/>
              <w:kern w:val="36"/>
              <w:sz w:val="18"/>
              <w:szCs w:val="16"/>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792C72">
              <w:rPr>
                <w:rStyle w:val="Hyperlink"/>
                <w:rFonts w:cs="Arial"/>
                <w:bCs/>
                <w:iCs/>
                <w:kern w:val="36"/>
                <w:sz w:val="18"/>
                <w:szCs w:val="16"/>
              </w:rPr>
              <w:t>www.onr.org.uk/copyright</w:t>
            </w:r>
          </w:hyperlink>
          <w:r w:rsidRPr="00792C72">
            <w:rPr>
              <w:rFonts w:cs="Arial"/>
              <w:bCs/>
              <w:iCs/>
              <w:kern w:val="36"/>
              <w:sz w:val="18"/>
              <w:szCs w:val="16"/>
            </w:rPr>
            <w:t> for details.</w:t>
          </w:r>
        </w:p>
      </w:tc>
    </w:tr>
  </w:tbl>
  <w:p w14:paraId="577A128E" w14:textId="77777777" w:rsidR="005739E1" w:rsidRDefault="005739E1" w:rsidP="00166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0E0CAF" w:rsidRPr="002050C1" w14:paraId="05C9F01D" w14:textId="77777777" w:rsidTr="009E4EBE">
      <w:tc>
        <w:tcPr>
          <w:tcW w:w="4621" w:type="dxa"/>
          <w:shd w:val="clear" w:color="auto" w:fill="auto"/>
          <w:vAlign w:val="center"/>
        </w:tcPr>
        <w:p w14:paraId="088F1BFD" w14:textId="77777777" w:rsidR="000E0CAF" w:rsidRDefault="000E0CAF" w:rsidP="009E4EBE">
          <w:pPr>
            <w:pStyle w:val="Header"/>
          </w:pPr>
          <w:r>
            <w:rPr>
              <w:noProof/>
              <w:lang w:eastAsia="en-GB"/>
            </w:rPr>
            <w:drawing>
              <wp:inline distT="0" distB="0" distL="0" distR="0" wp14:anchorId="120D8D5A" wp14:editId="2CF45EFB">
                <wp:extent cx="2524125" cy="533400"/>
                <wp:effectExtent l="0" t="0" r="9525" b="0"/>
                <wp:docPr id="2" name="Picture 9"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753177B2" w14:textId="77777777" w:rsidR="000E0CAF" w:rsidRPr="002050C1" w:rsidRDefault="000E0CAF" w:rsidP="00F26124">
          <w:pPr>
            <w:spacing w:before="60" w:after="60"/>
            <w:jc w:val="right"/>
            <w:outlineLvl w:val="1"/>
            <w:rPr>
              <w:rFonts w:ascii="Times New Roman" w:hAnsi="Times New Roman"/>
              <w:bCs/>
              <w:kern w:val="36"/>
              <w:sz w:val="18"/>
              <w:szCs w:val="18"/>
            </w:rPr>
          </w:pPr>
          <w:r w:rsidRPr="00BA0058">
            <w:rPr>
              <w:rFonts w:cs="Arial"/>
              <w:bCs/>
              <w:iCs/>
              <w:kern w:val="36"/>
              <w:sz w:val="18"/>
              <w:szCs w:val="18"/>
            </w:rPr>
            <w:t xml:space="preserve">© Office for </w:t>
          </w:r>
          <w:r w:rsidR="00F26124" w:rsidRPr="00BA0058">
            <w:rPr>
              <w:rFonts w:cs="Arial"/>
              <w:bCs/>
              <w:iCs/>
              <w:kern w:val="36"/>
              <w:sz w:val="18"/>
              <w:szCs w:val="18"/>
            </w:rPr>
            <w:t>Nuclear Regulation</w:t>
          </w:r>
          <w:r w:rsidRPr="00BA0058">
            <w:rPr>
              <w:rFonts w:cs="Arial"/>
              <w:bCs/>
              <w:iCs/>
              <w:kern w:val="36"/>
              <w:sz w:val="18"/>
              <w:szCs w:val="18"/>
            </w:rPr>
            <w:br/>
          </w:r>
          <w:r w:rsidRPr="00BA0058">
            <w:rPr>
              <w:rFonts w:cs="Arial"/>
              <w:b/>
              <w:bCs/>
              <w:iCs/>
              <w:kern w:val="36"/>
              <w:sz w:val="18"/>
              <w:szCs w:val="18"/>
            </w:rPr>
            <w:t>UNCONTROLLED WHEN PRINTED</w:t>
          </w:r>
          <w:r w:rsidRPr="002050C1">
            <w:rPr>
              <w:rFonts w:cs="Arial"/>
              <w:bCs/>
              <w:kern w:val="36"/>
              <w:sz w:val="18"/>
              <w:szCs w:val="18"/>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2050C1">
              <w:rPr>
                <w:rStyle w:val="Hyperlink"/>
                <w:rFonts w:cs="Arial"/>
                <w:bCs/>
                <w:kern w:val="36"/>
                <w:sz w:val="18"/>
                <w:szCs w:val="18"/>
              </w:rPr>
              <w:t>www.onr.org.uk/copyright</w:t>
            </w:r>
          </w:hyperlink>
          <w:r w:rsidRPr="002050C1">
            <w:rPr>
              <w:rFonts w:cs="Arial"/>
              <w:bCs/>
              <w:kern w:val="36"/>
              <w:sz w:val="18"/>
              <w:szCs w:val="18"/>
            </w:rPr>
            <w:t> for details.</w:t>
          </w:r>
        </w:p>
      </w:tc>
    </w:tr>
  </w:tbl>
  <w:p w14:paraId="2F0D332C" w14:textId="77777777" w:rsidR="000E0CAF" w:rsidRDefault="000E0CAF" w:rsidP="000E0C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BA0058" w14:paraId="291274D2" w14:textId="77777777" w:rsidTr="00BA0058">
      <w:tc>
        <w:tcPr>
          <w:tcW w:w="4586" w:type="dxa"/>
          <w:shd w:val="clear" w:color="auto" w:fill="auto"/>
          <w:vAlign w:val="center"/>
        </w:tcPr>
        <w:p w14:paraId="4CD4A633" w14:textId="77777777" w:rsidR="00BA0058" w:rsidRPr="000E0CAF" w:rsidRDefault="00BA0058" w:rsidP="005739E1">
          <w:pPr>
            <w:pStyle w:val="Header"/>
            <w:rPr>
              <w:sz w:val="18"/>
              <w:szCs w:val="18"/>
            </w:rPr>
          </w:pPr>
          <w:r>
            <w:rPr>
              <w:noProof/>
              <w:lang w:eastAsia="en-GB"/>
            </w:rPr>
            <w:drawing>
              <wp:inline distT="0" distB="0" distL="0" distR="0" wp14:anchorId="76C100F4" wp14:editId="654E903E">
                <wp:extent cx="2524125" cy="533400"/>
                <wp:effectExtent l="0" t="0" r="9525" b="0"/>
                <wp:docPr id="3" name="Picture 3"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440" w:type="dxa"/>
          <w:shd w:val="clear" w:color="auto" w:fill="auto"/>
          <w:vAlign w:val="center"/>
        </w:tcPr>
        <w:p w14:paraId="654D4B80" w14:textId="52CCE63E" w:rsidR="00BA0058" w:rsidRPr="00991ADA" w:rsidRDefault="00BA0058" w:rsidP="00792C72">
          <w:pPr>
            <w:spacing w:before="60" w:after="60"/>
            <w:jc w:val="right"/>
            <w:outlineLvl w:val="1"/>
            <w:rPr>
              <w:rFonts w:cs="Arial"/>
              <w:bCs/>
              <w:iCs/>
              <w:kern w:val="36"/>
              <w:sz w:val="18"/>
              <w:szCs w:val="16"/>
            </w:rPr>
          </w:pPr>
          <w:r w:rsidRPr="00BA0058">
            <w:rPr>
              <w:rFonts w:cs="Arial"/>
              <w:b/>
              <w:iCs/>
              <w:kern w:val="36"/>
              <w:sz w:val="18"/>
              <w:szCs w:val="16"/>
            </w:rPr>
            <w:t>Doc. Ref.:</w:t>
          </w:r>
          <w:r w:rsidR="00991ADA">
            <w:rPr>
              <w:rFonts w:cs="Arial"/>
              <w:b/>
              <w:iCs/>
              <w:kern w:val="36"/>
              <w:sz w:val="18"/>
              <w:szCs w:val="16"/>
            </w:rPr>
            <w:t xml:space="preserve"> </w:t>
          </w:r>
          <w:r w:rsidR="00991ADA" w:rsidRPr="00991ADA">
            <w:rPr>
              <w:rFonts w:cs="Arial"/>
              <w:bCs/>
              <w:iCs/>
              <w:kern w:val="36"/>
              <w:sz w:val="18"/>
              <w:szCs w:val="16"/>
            </w:rPr>
            <w:t>TD-TCA-GD-00</w:t>
          </w:r>
          <w:r w:rsidR="00374027">
            <w:rPr>
              <w:rFonts w:cs="Arial"/>
              <w:bCs/>
              <w:iCs/>
              <w:kern w:val="36"/>
              <w:sz w:val="18"/>
              <w:szCs w:val="16"/>
            </w:rPr>
            <w:t>3</w:t>
          </w:r>
        </w:p>
        <w:p w14:paraId="14F8D510" w14:textId="19A9BFDA" w:rsidR="00BA0058" w:rsidRPr="00792C72" w:rsidRDefault="00BA0058" w:rsidP="00792C72">
          <w:pPr>
            <w:spacing w:before="60" w:after="60"/>
            <w:jc w:val="right"/>
            <w:outlineLvl w:val="1"/>
            <w:rPr>
              <w:rFonts w:ascii="Times New Roman" w:hAnsi="Times New Roman"/>
              <w:bCs/>
              <w:iCs/>
              <w:kern w:val="36"/>
              <w:sz w:val="18"/>
              <w:szCs w:val="16"/>
            </w:rPr>
          </w:pPr>
          <w:r w:rsidRPr="00BA0058">
            <w:rPr>
              <w:b/>
              <w:iCs/>
              <w:kern w:val="36"/>
              <w:sz w:val="18"/>
              <w:szCs w:val="16"/>
            </w:rPr>
            <w:t>Issue No.:</w:t>
          </w:r>
          <w:r>
            <w:rPr>
              <w:bCs/>
              <w:iCs/>
              <w:kern w:val="36"/>
              <w:sz w:val="18"/>
              <w:szCs w:val="16"/>
            </w:rPr>
            <w:t xml:space="preserve"> </w:t>
          </w:r>
          <w:r w:rsidR="00EC6987">
            <w:rPr>
              <w:bCs/>
              <w:iCs/>
              <w:kern w:val="36"/>
              <w:sz w:val="18"/>
              <w:szCs w:val="16"/>
            </w:rPr>
            <w:t>3</w:t>
          </w:r>
        </w:p>
      </w:tc>
    </w:tr>
  </w:tbl>
  <w:p w14:paraId="441863FF" w14:textId="77777777" w:rsidR="00BA0058" w:rsidRDefault="00BA0058" w:rsidP="00166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7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0B619C"/>
    <w:multiLevelType w:val="multilevel"/>
    <w:tmpl w:val="E51AB6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9282434"/>
    <w:multiLevelType w:val="hybridMultilevel"/>
    <w:tmpl w:val="F96A0AD6"/>
    <w:lvl w:ilvl="0" w:tplc="3788D684">
      <w:start w:val="2"/>
      <w:numFmt w:val="decimal"/>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706A39"/>
    <w:multiLevelType w:val="multilevel"/>
    <w:tmpl w:val="B4D0FD34"/>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10F0435"/>
    <w:multiLevelType w:val="multilevel"/>
    <w:tmpl w:val="B5D8D68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765672"/>
    <w:multiLevelType w:val="hybridMultilevel"/>
    <w:tmpl w:val="C4F43B1E"/>
    <w:lvl w:ilvl="0" w:tplc="1C58BAD2">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AE3720B"/>
    <w:multiLevelType w:val="hybridMultilevel"/>
    <w:tmpl w:val="FDA2E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0C4DCE"/>
    <w:multiLevelType w:val="hybridMultilevel"/>
    <w:tmpl w:val="7BAA90C2"/>
    <w:lvl w:ilvl="0" w:tplc="CD0E31B0">
      <w:start w:val="1"/>
      <w:numFmt w:val="bullet"/>
      <w:lvlText w:val=""/>
      <w:lvlJc w:val="left"/>
      <w:pPr>
        <w:ind w:left="788" w:hanging="360"/>
      </w:pPr>
      <w:rPr>
        <w:rFonts w:ascii="Wingdings" w:hAnsi="Wingdings" w:hint="default"/>
        <w:color w:val="005F63"/>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8" w15:restartNumberingAfterBreak="0">
    <w:nsid w:val="644D1EA8"/>
    <w:multiLevelType w:val="multilevel"/>
    <w:tmpl w:val="072446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F5526B"/>
    <w:multiLevelType w:val="hybridMultilevel"/>
    <w:tmpl w:val="4894B750"/>
    <w:lvl w:ilvl="0" w:tplc="08090017">
      <w:start w:val="1"/>
      <w:numFmt w:val="lowerLetter"/>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0" w15:restartNumberingAfterBreak="0">
    <w:nsid w:val="6F670F9D"/>
    <w:multiLevelType w:val="hybridMultilevel"/>
    <w:tmpl w:val="9F52835C"/>
    <w:lvl w:ilvl="0" w:tplc="07F0FD30">
      <w:start w:val="1"/>
      <w:numFmt w:val="bullet"/>
      <w:lvlText w:val=""/>
      <w:lvlJc w:val="left"/>
      <w:pPr>
        <w:ind w:left="720" w:hanging="360"/>
      </w:pPr>
      <w:rPr>
        <w:rFonts w:ascii="Wingdings" w:hAnsi="Wingdings" w:hint="default"/>
        <w:color w:val="005F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1550BF"/>
    <w:multiLevelType w:val="multilevel"/>
    <w:tmpl w:val="0282A1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9447535"/>
    <w:multiLevelType w:val="hybridMultilevel"/>
    <w:tmpl w:val="10F03B5C"/>
    <w:lvl w:ilvl="0" w:tplc="C6ECFBE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863EDD"/>
    <w:multiLevelType w:val="multilevel"/>
    <w:tmpl w:val="555C3264"/>
    <w:lvl w:ilvl="0">
      <w:start w:val="1"/>
      <w:numFmt w:val="decimal"/>
      <w:pStyle w:val="Numbered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7F2150"/>
    <w:multiLevelType w:val="hybridMultilevel"/>
    <w:tmpl w:val="E1CCF1E2"/>
    <w:lvl w:ilvl="0" w:tplc="2F260A3E">
      <w:start w:val="1"/>
      <w:numFmt w:val="bullet"/>
      <w:pStyle w:val="BulletPoint"/>
      <w:lvlText w:val=""/>
      <w:lvlJc w:val="left"/>
      <w:pPr>
        <w:ind w:left="720" w:hanging="360"/>
      </w:pPr>
      <w:rPr>
        <w:rFonts w:ascii="Wingdings" w:hAnsi="Wingdings" w:hint="default"/>
        <w:color w:val="006D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8"/>
  </w:num>
  <w:num w:numId="7">
    <w:abstractNumId w:val="0"/>
  </w:num>
  <w:num w:numId="8">
    <w:abstractNumId w:val="8"/>
  </w:num>
  <w:num w:numId="9">
    <w:abstractNumId w:val="11"/>
  </w:num>
  <w:num w:numId="10">
    <w:abstractNumId w:val="1"/>
  </w:num>
  <w:num w:numId="11">
    <w:abstractNumId w:val="1"/>
  </w:num>
  <w:num w:numId="12">
    <w:abstractNumId w:val="14"/>
  </w:num>
  <w:num w:numId="13">
    <w:abstractNumId w:val="4"/>
  </w:num>
  <w:num w:numId="14">
    <w:abstractNumId w:val="12"/>
  </w:num>
  <w:num w:numId="15">
    <w:abstractNumId w:val="12"/>
  </w:num>
  <w:num w:numId="16">
    <w:abstractNumId w:val="12"/>
  </w:num>
  <w:num w:numId="17">
    <w:abstractNumId w:val="12"/>
  </w:num>
  <w:num w:numId="18">
    <w:abstractNumId w:val="12"/>
  </w:num>
  <w:num w:numId="19">
    <w:abstractNumId w:val="4"/>
  </w:num>
  <w:num w:numId="20">
    <w:abstractNumId w:val="12"/>
    <w:lvlOverride w:ilvl="0">
      <w:startOverride w:val="1"/>
    </w:lvlOverride>
  </w:num>
  <w:num w:numId="21">
    <w:abstractNumId w:val="13"/>
  </w:num>
  <w:num w:numId="22">
    <w:abstractNumId w:val="7"/>
  </w:num>
  <w:num w:numId="23">
    <w:abstractNumId w:val="2"/>
  </w:num>
  <w:num w:numId="24">
    <w:abstractNumId w:val="6"/>
  </w:num>
  <w:num w:numId="25">
    <w:abstractNumId w:val="10"/>
  </w:num>
  <w:num w:numId="26">
    <w:abstractNumId w:val="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C2"/>
    <w:rsid w:val="00017651"/>
    <w:rsid w:val="0002422D"/>
    <w:rsid w:val="00026812"/>
    <w:rsid w:val="00027018"/>
    <w:rsid w:val="000346F6"/>
    <w:rsid w:val="00034723"/>
    <w:rsid w:val="000418F4"/>
    <w:rsid w:val="0004230A"/>
    <w:rsid w:val="00043034"/>
    <w:rsid w:val="0004565B"/>
    <w:rsid w:val="00050AE6"/>
    <w:rsid w:val="00057C97"/>
    <w:rsid w:val="00063536"/>
    <w:rsid w:val="000654E3"/>
    <w:rsid w:val="000658A1"/>
    <w:rsid w:val="00073361"/>
    <w:rsid w:val="00082776"/>
    <w:rsid w:val="0009291B"/>
    <w:rsid w:val="000944A7"/>
    <w:rsid w:val="00095277"/>
    <w:rsid w:val="000A0CF3"/>
    <w:rsid w:val="000A1FAF"/>
    <w:rsid w:val="000A29A4"/>
    <w:rsid w:val="000B3536"/>
    <w:rsid w:val="000C058E"/>
    <w:rsid w:val="000D1653"/>
    <w:rsid w:val="000D73C9"/>
    <w:rsid w:val="000E0CAF"/>
    <w:rsid w:val="00101035"/>
    <w:rsid w:val="00106D34"/>
    <w:rsid w:val="00107D5C"/>
    <w:rsid w:val="0011427B"/>
    <w:rsid w:val="00114DD9"/>
    <w:rsid w:val="0012353B"/>
    <w:rsid w:val="00126624"/>
    <w:rsid w:val="00130241"/>
    <w:rsid w:val="00131224"/>
    <w:rsid w:val="00133D1C"/>
    <w:rsid w:val="00135CC2"/>
    <w:rsid w:val="00135EFF"/>
    <w:rsid w:val="00140587"/>
    <w:rsid w:val="001537A8"/>
    <w:rsid w:val="00155D6C"/>
    <w:rsid w:val="0015721A"/>
    <w:rsid w:val="00164BD8"/>
    <w:rsid w:val="00166615"/>
    <w:rsid w:val="001667F7"/>
    <w:rsid w:val="001720D8"/>
    <w:rsid w:val="00172C4C"/>
    <w:rsid w:val="00175E6C"/>
    <w:rsid w:val="00177919"/>
    <w:rsid w:val="001A3C57"/>
    <w:rsid w:val="001B12F1"/>
    <w:rsid w:val="001B412F"/>
    <w:rsid w:val="001C00D7"/>
    <w:rsid w:val="001C336B"/>
    <w:rsid w:val="001D016F"/>
    <w:rsid w:val="001E085A"/>
    <w:rsid w:val="001E0D95"/>
    <w:rsid w:val="001E7F8A"/>
    <w:rsid w:val="001F70EE"/>
    <w:rsid w:val="002007DF"/>
    <w:rsid w:val="00203FA2"/>
    <w:rsid w:val="0020412F"/>
    <w:rsid w:val="002050C1"/>
    <w:rsid w:val="0021237A"/>
    <w:rsid w:val="00212C67"/>
    <w:rsid w:val="002234D9"/>
    <w:rsid w:val="00223926"/>
    <w:rsid w:val="0023355D"/>
    <w:rsid w:val="002403C2"/>
    <w:rsid w:val="002421E9"/>
    <w:rsid w:val="00243890"/>
    <w:rsid w:val="00245B13"/>
    <w:rsid w:val="00247F59"/>
    <w:rsid w:val="00247FB4"/>
    <w:rsid w:val="00257C8F"/>
    <w:rsid w:val="00261D73"/>
    <w:rsid w:val="00263314"/>
    <w:rsid w:val="00283841"/>
    <w:rsid w:val="002867E1"/>
    <w:rsid w:val="00291AE5"/>
    <w:rsid w:val="00292407"/>
    <w:rsid w:val="002948CE"/>
    <w:rsid w:val="002A39EA"/>
    <w:rsid w:val="002A4BFD"/>
    <w:rsid w:val="002B1C4A"/>
    <w:rsid w:val="002D5DAA"/>
    <w:rsid w:val="002E013C"/>
    <w:rsid w:val="002E0DCE"/>
    <w:rsid w:val="002E2D4B"/>
    <w:rsid w:val="002E46CD"/>
    <w:rsid w:val="002F06D2"/>
    <w:rsid w:val="002F1622"/>
    <w:rsid w:val="002F53C8"/>
    <w:rsid w:val="00301750"/>
    <w:rsid w:val="0030179C"/>
    <w:rsid w:val="00302872"/>
    <w:rsid w:val="00303284"/>
    <w:rsid w:val="003250DC"/>
    <w:rsid w:val="00326285"/>
    <w:rsid w:val="00330398"/>
    <w:rsid w:val="00331CE0"/>
    <w:rsid w:val="003358AB"/>
    <w:rsid w:val="00337DE0"/>
    <w:rsid w:val="0034289D"/>
    <w:rsid w:val="0035338F"/>
    <w:rsid w:val="00355EEB"/>
    <w:rsid w:val="00367A18"/>
    <w:rsid w:val="00374027"/>
    <w:rsid w:val="0039448C"/>
    <w:rsid w:val="003A7CBF"/>
    <w:rsid w:val="003B3431"/>
    <w:rsid w:val="003C0223"/>
    <w:rsid w:val="003C23E4"/>
    <w:rsid w:val="003C2AD5"/>
    <w:rsid w:val="003D13A2"/>
    <w:rsid w:val="003D255C"/>
    <w:rsid w:val="003E21BC"/>
    <w:rsid w:val="003E3BAB"/>
    <w:rsid w:val="003E5C1C"/>
    <w:rsid w:val="003E6176"/>
    <w:rsid w:val="003F09EE"/>
    <w:rsid w:val="003F1109"/>
    <w:rsid w:val="003F303A"/>
    <w:rsid w:val="003F650D"/>
    <w:rsid w:val="00400FD1"/>
    <w:rsid w:val="0040207E"/>
    <w:rsid w:val="004036EB"/>
    <w:rsid w:val="00407686"/>
    <w:rsid w:val="004078FA"/>
    <w:rsid w:val="004152C4"/>
    <w:rsid w:val="00417828"/>
    <w:rsid w:val="004259E8"/>
    <w:rsid w:val="004264B1"/>
    <w:rsid w:val="004366C4"/>
    <w:rsid w:val="00445F05"/>
    <w:rsid w:val="0044606D"/>
    <w:rsid w:val="004528BE"/>
    <w:rsid w:val="004608E1"/>
    <w:rsid w:val="004617B4"/>
    <w:rsid w:val="00464E94"/>
    <w:rsid w:val="00464EB5"/>
    <w:rsid w:val="004721AC"/>
    <w:rsid w:val="004752B0"/>
    <w:rsid w:val="00476A85"/>
    <w:rsid w:val="00484B5D"/>
    <w:rsid w:val="004852B7"/>
    <w:rsid w:val="00494EE2"/>
    <w:rsid w:val="004A0541"/>
    <w:rsid w:val="004A3565"/>
    <w:rsid w:val="004A570F"/>
    <w:rsid w:val="004A7F41"/>
    <w:rsid w:val="004B68AC"/>
    <w:rsid w:val="004C7C1A"/>
    <w:rsid w:val="004D0FB4"/>
    <w:rsid w:val="004D1958"/>
    <w:rsid w:val="004D2AE2"/>
    <w:rsid w:val="004D4298"/>
    <w:rsid w:val="004D4946"/>
    <w:rsid w:val="004E0FC9"/>
    <w:rsid w:val="004E47BF"/>
    <w:rsid w:val="004E57D1"/>
    <w:rsid w:val="004E597E"/>
    <w:rsid w:val="004E6571"/>
    <w:rsid w:val="005032D1"/>
    <w:rsid w:val="00505373"/>
    <w:rsid w:val="005133ED"/>
    <w:rsid w:val="00513601"/>
    <w:rsid w:val="00517C12"/>
    <w:rsid w:val="00521EA3"/>
    <w:rsid w:val="00523865"/>
    <w:rsid w:val="00523A4A"/>
    <w:rsid w:val="0052466D"/>
    <w:rsid w:val="005253D2"/>
    <w:rsid w:val="00531081"/>
    <w:rsid w:val="0053340D"/>
    <w:rsid w:val="0053619C"/>
    <w:rsid w:val="00537F87"/>
    <w:rsid w:val="005401D8"/>
    <w:rsid w:val="00544FFF"/>
    <w:rsid w:val="005459D1"/>
    <w:rsid w:val="005464EB"/>
    <w:rsid w:val="00551F29"/>
    <w:rsid w:val="005570A6"/>
    <w:rsid w:val="0056258D"/>
    <w:rsid w:val="00562889"/>
    <w:rsid w:val="00572A7C"/>
    <w:rsid w:val="005739E1"/>
    <w:rsid w:val="005740B0"/>
    <w:rsid w:val="0059019C"/>
    <w:rsid w:val="0059038D"/>
    <w:rsid w:val="005945A2"/>
    <w:rsid w:val="0059480B"/>
    <w:rsid w:val="005959C2"/>
    <w:rsid w:val="005A2DAA"/>
    <w:rsid w:val="005A4811"/>
    <w:rsid w:val="005B6F26"/>
    <w:rsid w:val="005C05C0"/>
    <w:rsid w:val="005C1469"/>
    <w:rsid w:val="005C6265"/>
    <w:rsid w:val="005D156B"/>
    <w:rsid w:val="005D3179"/>
    <w:rsid w:val="005D54F6"/>
    <w:rsid w:val="005D7788"/>
    <w:rsid w:val="005F08EC"/>
    <w:rsid w:val="005F7FF2"/>
    <w:rsid w:val="006019D2"/>
    <w:rsid w:val="00605713"/>
    <w:rsid w:val="006164C0"/>
    <w:rsid w:val="00627212"/>
    <w:rsid w:val="0063145C"/>
    <w:rsid w:val="0063470C"/>
    <w:rsid w:val="006407CF"/>
    <w:rsid w:val="00640A4E"/>
    <w:rsid w:val="00641920"/>
    <w:rsid w:val="0065018A"/>
    <w:rsid w:val="00652903"/>
    <w:rsid w:val="00652D85"/>
    <w:rsid w:val="00657DF9"/>
    <w:rsid w:val="0067175C"/>
    <w:rsid w:val="0067475F"/>
    <w:rsid w:val="00687C29"/>
    <w:rsid w:val="00694077"/>
    <w:rsid w:val="006A17E4"/>
    <w:rsid w:val="006A1998"/>
    <w:rsid w:val="006A5CC8"/>
    <w:rsid w:val="006B5413"/>
    <w:rsid w:val="006C1976"/>
    <w:rsid w:val="006C45F0"/>
    <w:rsid w:val="006C6C61"/>
    <w:rsid w:val="006C71C9"/>
    <w:rsid w:val="006D6C95"/>
    <w:rsid w:val="006F3487"/>
    <w:rsid w:val="006F4644"/>
    <w:rsid w:val="006F54F8"/>
    <w:rsid w:val="00704282"/>
    <w:rsid w:val="007052E6"/>
    <w:rsid w:val="007170DA"/>
    <w:rsid w:val="00717C75"/>
    <w:rsid w:val="00726365"/>
    <w:rsid w:val="007279E3"/>
    <w:rsid w:val="00737168"/>
    <w:rsid w:val="00744D19"/>
    <w:rsid w:val="00745876"/>
    <w:rsid w:val="00750053"/>
    <w:rsid w:val="00763FF3"/>
    <w:rsid w:val="00770FC0"/>
    <w:rsid w:val="007716EA"/>
    <w:rsid w:val="00773480"/>
    <w:rsid w:val="00773754"/>
    <w:rsid w:val="0077637A"/>
    <w:rsid w:val="00777DDB"/>
    <w:rsid w:val="00781644"/>
    <w:rsid w:val="007837A6"/>
    <w:rsid w:val="0078447C"/>
    <w:rsid w:val="00792C72"/>
    <w:rsid w:val="007953D3"/>
    <w:rsid w:val="0079753F"/>
    <w:rsid w:val="007A1A20"/>
    <w:rsid w:val="007A28CC"/>
    <w:rsid w:val="007A6814"/>
    <w:rsid w:val="007C1299"/>
    <w:rsid w:val="007C311D"/>
    <w:rsid w:val="007C704E"/>
    <w:rsid w:val="007D1943"/>
    <w:rsid w:val="007E0099"/>
    <w:rsid w:val="007F1E26"/>
    <w:rsid w:val="007F270C"/>
    <w:rsid w:val="007F5102"/>
    <w:rsid w:val="007F5D84"/>
    <w:rsid w:val="007F7940"/>
    <w:rsid w:val="008026F8"/>
    <w:rsid w:val="00805EB3"/>
    <w:rsid w:val="0082316B"/>
    <w:rsid w:val="00832DCB"/>
    <w:rsid w:val="008348EE"/>
    <w:rsid w:val="00836D35"/>
    <w:rsid w:val="00845786"/>
    <w:rsid w:val="00854CE0"/>
    <w:rsid w:val="00870178"/>
    <w:rsid w:val="00875DC7"/>
    <w:rsid w:val="008829A8"/>
    <w:rsid w:val="008853CC"/>
    <w:rsid w:val="00887364"/>
    <w:rsid w:val="00887788"/>
    <w:rsid w:val="008A3D8E"/>
    <w:rsid w:val="008B0AF1"/>
    <w:rsid w:val="008B2233"/>
    <w:rsid w:val="008B251A"/>
    <w:rsid w:val="008B579D"/>
    <w:rsid w:val="008B7D97"/>
    <w:rsid w:val="008C0E39"/>
    <w:rsid w:val="008C2AB5"/>
    <w:rsid w:val="008C48EF"/>
    <w:rsid w:val="008E1A33"/>
    <w:rsid w:val="008E23B0"/>
    <w:rsid w:val="008E32D0"/>
    <w:rsid w:val="008E7EF6"/>
    <w:rsid w:val="008F03F0"/>
    <w:rsid w:val="008F4DE3"/>
    <w:rsid w:val="00900688"/>
    <w:rsid w:val="00905CE5"/>
    <w:rsid w:val="00923F83"/>
    <w:rsid w:val="009261C6"/>
    <w:rsid w:val="00927E55"/>
    <w:rsid w:val="0093189F"/>
    <w:rsid w:val="00931E82"/>
    <w:rsid w:val="00932D70"/>
    <w:rsid w:val="009367C8"/>
    <w:rsid w:val="00940923"/>
    <w:rsid w:val="009460DD"/>
    <w:rsid w:val="00950A9F"/>
    <w:rsid w:val="00951121"/>
    <w:rsid w:val="00953CA4"/>
    <w:rsid w:val="009559B3"/>
    <w:rsid w:val="00970925"/>
    <w:rsid w:val="009747AA"/>
    <w:rsid w:val="0098284D"/>
    <w:rsid w:val="0098558A"/>
    <w:rsid w:val="00991ADA"/>
    <w:rsid w:val="009933DF"/>
    <w:rsid w:val="00995EC4"/>
    <w:rsid w:val="009A7602"/>
    <w:rsid w:val="009B0257"/>
    <w:rsid w:val="009B0B23"/>
    <w:rsid w:val="009C208C"/>
    <w:rsid w:val="009C662B"/>
    <w:rsid w:val="009C7C72"/>
    <w:rsid w:val="009D4363"/>
    <w:rsid w:val="009D529C"/>
    <w:rsid w:val="009E1798"/>
    <w:rsid w:val="009E78E5"/>
    <w:rsid w:val="009F6687"/>
    <w:rsid w:val="00A03538"/>
    <w:rsid w:val="00A0553C"/>
    <w:rsid w:val="00A05CF6"/>
    <w:rsid w:val="00A10EB9"/>
    <w:rsid w:val="00A158DD"/>
    <w:rsid w:val="00A225FC"/>
    <w:rsid w:val="00A346BC"/>
    <w:rsid w:val="00A34AF8"/>
    <w:rsid w:val="00A46B03"/>
    <w:rsid w:val="00A5089B"/>
    <w:rsid w:val="00A61B38"/>
    <w:rsid w:val="00A700DD"/>
    <w:rsid w:val="00A7465D"/>
    <w:rsid w:val="00A845DE"/>
    <w:rsid w:val="00A84AF7"/>
    <w:rsid w:val="00A8658D"/>
    <w:rsid w:val="00A87147"/>
    <w:rsid w:val="00A90513"/>
    <w:rsid w:val="00A952CD"/>
    <w:rsid w:val="00A973B1"/>
    <w:rsid w:val="00AA1309"/>
    <w:rsid w:val="00AA2F26"/>
    <w:rsid w:val="00AA5782"/>
    <w:rsid w:val="00AB520B"/>
    <w:rsid w:val="00AC05CF"/>
    <w:rsid w:val="00AC5D1F"/>
    <w:rsid w:val="00AD75F0"/>
    <w:rsid w:val="00AE3EF0"/>
    <w:rsid w:val="00AE4495"/>
    <w:rsid w:val="00AE4F7A"/>
    <w:rsid w:val="00AF3EE5"/>
    <w:rsid w:val="00AF683D"/>
    <w:rsid w:val="00B11D25"/>
    <w:rsid w:val="00B1207C"/>
    <w:rsid w:val="00B157A4"/>
    <w:rsid w:val="00B302AB"/>
    <w:rsid w:val="00B3304C"/>
    <w:rsid w:val="00B339BC"/>
    <w:rsid w:val="00B35337"/>
    <w:rsid w:val="00B43161"/>
    <w:rsid w:val="00B549B2"/>
    <w:rsid w:val="00B62367"/>
    <w:rsid w:val="00B649D3"/>
    <w:rsid w:val="00B65651"/>
    <w:rsid w:val="00B679EF"/>
    <w:rsid w:val="00B75595"/>
    <w:rsid w:val="00B85A42"/>
    <w:rsid w:val="00B85FC7"/>
    <w:rsid w:val="00B95A3B"/>
    <w:rsid w:val="00BA0058"/>
    <w:rsid w:val="00BA3F90"/>
    <w:rsid w:val="00BC3A33"/>
    <w:rsid w:val="00BC66A4"/>
    <w:rsid w:val="00BC7EE9"/>
    <w:rsid w:val="00BD233E"/>
    <w:rsid w:val="00BE4011"/>
    <w:rsid w:val="00C15153"/>
    <w:rsid w:val="00C16244"/>
    <w:rsid w:val="00C2036E"/>
    <w:rsid w:val="00C22C71"/>
    <w:rsid w:val="00C3299B"/>
    <w:rsid w:val="00C42B97"/>
    <w:rsid w:val="00C43D87"/>
    <w:rsid w:val="00C46F4C"/>
    <w:rsid w:val="00C50A5F"/>
    <w:rsid w:val="00C50D6C"/>
    <w:rsid w:val="00C51226"/>
    <w:rsid w:val="00C61C57"/>
    <w:rsid w:val="00C623E3"/>
    <w:rsid w:val="00C67A0A"/>
    <w:rsid w:val="00C67D1E"/>
    <w:rsid w:val="00C71296"/>
    <w:rsid w:val="00C73083"/>
    <w:rsid w:val="00C814D5"/>
    <w:rsid w:val="00C91D44"/>
    <w:rsid w:val="00C94790"/>
    <w:rsid w:val="00C95F35"/>
    <w:rsid w:val="00CA3AFC"/>
    <w:rsid w:val="00CC49EE"/>
    <w:rsid w:val="00CD0682"/>
    <w:rsid w:val="00CD0A37"/>
    <w:rsid w:val="00CD3598"/>
    <w:rsid w:val="00CE07AF"/>
    <w:rsid w:val="00CE1D0F"/>
    <w:rsid w:val="00CE45D2"/>
    <w:rsid w:val="00CE6EE6"/>
    <w:rsid w:val="00CF53F5"/>
    <w:rsid w:val="00CF6783"/>
    <w:rsid w:val="00D000C0"/>
    <w:rsid w:val="00D03216"/>
    <w:rsid w:val="00D037D4"/>
    <w:rsid w:val="00D1147A"/>
    <w:rsid w:val="00D20D09"/>
    <w:rsid w:val="00D2649B"/>
    <w:rsid w:val="00D32C93"/>
    <w:rsid w:val="00D33896"/>
    <w:rsid w:val="00D33B25"/>
    <w:rsid w:val="00D33FDA"/>
    <w:rsid w:val="00D3582F"/>
    <w:rsid w:val="00D37E97"/>
    <w:rsid w:val="00D4056C"/>
    <w:rsid w:val="00D44691"/>
    <w:rsid w:val="00D4783D"/>
    <w:rsid w:val="00D534F4"/>
    <w:rsid w:val="00D6020A"/>
    <w:rsid w:val="00D67F30"/>
    <w:rsid w:val="00D73C1B"/>
    <w:rsid w:val="00D75DD3"/>
    <w:rsid w:val="00D80B3C"/>
    <w:rsid w:val="00D96B95"/>
    <w:rsid w:val="00DA28F2"/>
    <w:rsid w:val="00DA2F1C"/>
    <w:rsid w:val="00DA480E"/>
    <w:rsid w:val="00DA54C6"/>
    <w:rsid w:val="00DB04EA"/>
    <w:rsid w:val="00DB2E1A"/>
    <w:rsid w:val="00DB3242"/>
    <w:rsid w:val="00DB71CA"/>
    <w:rsid w:val="00DB77E4"/>
    <w:rsid w:val="00DC015D"/>
    <w:rsid w:val="00DC3F3E"/>
    <w:rsid w:val="00DD02DD"/>
    <w:rsid w:val="00DD6279"/>
    <w:rsid w:val="00DD7430"/>
    <w:rsid w:val="00DE0062"/>
    <w:rsid w:val="00DE0672"/>
    <w:rsid w:val="00DE0977"/>
    <w:rsid w:val="00DF4273"/>
    <w:rsid w:val="00E058BA"/>
    <w:rsid w:val="00E059CA"/>
    <w:rsid w:val="00E114F6"/>
    <w:rsid w:val="00E13913"/>
    <w:rsid w:val="00E16606"/>
    <w:rsid w:val="00E22266"/>
    <w:rsid w:val="00E33DB6"/>
    <w:rsid w:val="00E41EA5"/>
    <w:rsid w:val="00E46A18"/>
    <w:rsid w:val="00E522D7"/>
    <w:rsid w:val="00E52B07"/>
    <w:rsid w:val="00E733E6"/>
    <w:rsid w:val="00E80423"/>
    <w:rsid w:val="00E84ACD"/>
    <w:rsid w:val="00E85BAD"/>
    <w:rsid w:val="00E8612C"/>
    <w:rsid w:val="00E96A82"/>
    <w:rsid w:val="00EA2D1F"/>
    <w:rsid w:val="00EB324F"/>
    <w:rsid w:val="00EC5F40"/>
    <w:rsid w:val="00EC6056"/>
    <w:rsid w:val="00EC6987"/>
    <w:rsid w:val="00EF7C75"/>
    <w:rsid w:val="00F04114"/>
    <w:rsid w:val="00F076A5"/>
    <w:rsid w:val="00F10A77"/>
    <w:rsid w:val="00F125A9"/>
    <w:rsid w:val="00F12C65"/>
    <w:rsid w:val="00F144B1"/>
    <w:rsid w:val="00F17FE6"/>
    <w:rsid w:val="00F23B2A"/>
    <w:rsid w:val="00F24C53"/>
    <w:rsid w:val="00F26124"/>
    <w:rsid w:val="00F40AEF"/>
    <w:rsid w:val="00F504D3"/>
    <w:rsid w:val="00F61190"/>
    <w:rsid w:val="00F65DA5"/>
    <w:rsid w:val="00F67620"/>
    <w:rsid w:val="00F7029A"/>
    <w:rsid w:val="00F80153"/>
    <w:rsid w:val="00F8388E"/>
    <w:rsid w:val="00F9255B"/>
    <w:rsid w:val="00FA7035"/>
    <w:rsid w:val="00FB2B52"/>
    <w:rsid w:val="00FC03F3"/>
    <w:rsid w:val="00FC6D5A"/>
    <w:rsid w:val="00FD1450"/>
    <w:rsid w:val="00FD4BDB"/>
    <w:rsid w:val="00FE0DAC"/>
    <w:rsid w:val="00FE1FEA"/>
    <w:rsid w:val="00FE4BAE"/>
    <w:rsid w:val="00FE7FE5"/>
    <w:rsid w:val="00FF1157"/>
    <w:rsid w:val="00FF1421"/>
    <w:rsid w:val="00FF4683"/>
    <w:rsid w:val="00FF5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5B4A"/>
  <w15:docId w15:val="{7590383C-8C26-411F-90C1-C9D09362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83D"/>
    <w:pPr>
      <w:spacing w:before="240" w:after="120" w:line="264" w:lineRule="auto"/>
    </w:pPr>
    <w:rPr>
      <w:rFonts w:ascii="Arial" w:hAnsi="Arial"/>
      <w:sz w:val="24"/>
      <w:szCs w:val="24"/>
      <w:lang w:eastAsia="en-US"/>
    </w:rPr>
  </w:style>
  <w:style w:type="paragraph" w:styleId="Heading1">
    <w:name w:val="heading 1"/>
    <w:basedOn w:val="ListParagraph"/>
    <w:next w:val="Normal"/>
    <w:link w:val="Heading1Char"/>
    <w:uiPriority w:val="9"/>
    <w:qFormat/>
    <w:rsid w:val="00BA0058"/>
    <w:pPr>
      <w:numPr>
        <w:numId w:val="13"/>
      </w:numPr>
      <w:spacing w:line="240" w:lineRule="auto"/>
      <w:ind w:left="851" w:hanging="851"/>
      <w:outlineLvl w:val="0"/>
    </w:pPr>
    <w:rPr>
      <w:rFonts w:cs="Arial"/>
      <w:bCs/>
      <w:sz w:val="48"/>
      <w:szCs w:val="48"/>
    </w:rPr>
  </w:style>
  <w:style w:type="paragraph" w:styleId="Heading2">
    <w:name w:val="heading 2"/>
    <w:basedOn w:val="Heading1"/>
    <w:next w:val="Normal"/>
    <w:link w:val="Heading2Char"/>
    <w:qFormat/>
    <w:rsid w:val="00BA0058"/>
    <w:pPr>
      <w:numPr>
        <w:ilvl w:val="1"/>
      </w:numPr>
      <w:ind w:left="851" w:hanging="851"/>
      <w:outlineLvl w:val="1"/>
    </w:pPr>
    <w:rPr>
      <w:sz w:val="36"/>
      <w:szCs w:val="36"/>
    </w:rPr>
  </w:style>
  <w:style w:type="paragraph" w:styleId="Heading3">
    <w:name w:val="heading 3"/>
    <w:basedOn w:val="Heading2"/>
    <w:next w:val="Normal"/>
    <w:link w:val="Heading3Char"/>
    <w:qFormat/>
    <w:rsid w:val="00D4783D"/>
    <w:pPr>
      <w:numPr>
        <w:ilvl w:val="2"/>
      </w:numPr>
      <w:outlineLvl w:val="2"/>
    </w:pPr>
    <w:rPr>
      <w:b/>
      <w:sz w:val="28"/>
    </w:rPr>
  </w:style>
  <w:style w:type="paragraph" w:styleId="Heading4">
    <w:name w:val="heading 4"/>
    <w:basedOn w:val="Normal"/>
    <w:next w:val="Normal"/>
    <w:link w:val="Heading4Char"/>
    <w:rsid w:val="00330398"/>
    <w:pPr>
      <w:keepNext/>
      <w:spacing w:after="60"/>
      <w:outlineLvl w:val="3"/>
    </w:pPr>
    <w:rPr>
      <w:rFonts w:ascii="Times New Roman" w:hAnsi="Times New Roman"/>
      <w:b/>
      <w:bCs/>
      <w:sz w:val="28"/>
      <w:szCs w:val="28"/>
    </w:rPr>
  </w:style>
  <w:style w:type="paragraph" w:styleId="Heading5">
    <w:name w:val="heading 5"/>
    <w:basedOn w:val="Normal"/>
    <w:next w:val="Normal"/>
    <w:link w:val="Heading5Char"/>
    <w:rsid w:val="00330398"/>
    <w:pPr>
      <w:numPr>
        <w:ilvl w:val="4"/>
        <w:numId w:val="5"/>
      </w:numPr>
      <w:spacing w:after="60"/>
      <w:outlineLvl w:val="4"/>
    </w:pPr>
    <w:rPr>
      <w:b/>
      <w:bCs/>
      <w:i/>
      <w:iCs/>
      <w:sz w:val="26"/>
      <w:szCs w:val="26"/>
    </w:rPr>
  </w:style>
  <w:style w:type="paragraph" w:styleId="Heading6">
    <w:name w:val="heading 6"/>
    <w:basedOn w:val="Normal"/>
    <w:next w:val="Normal"/>
    <w:link w:val="Heading6Char"/>
    <w:rsid w:val="00330398"/>
    <w:pPr>
      <w:numPr>
        <w:ilvl w:val="5"/>
        <w:numId w:val="5"/>
      </w:numPr>
      <w:spacing w:after="60"/>
      <w:outlineLvl w:val="5"/>
    </w:pPr>
    <w:rPr>
      <w:rFonts w:ascii="Times New Roman" w:hAnsi="Times New Roman"/>
      <w:b/>
      <w:bCs/>
      <w:szCs w:val="22"/>
    </w:rPr>
  </w:style>
  <w:style w:type="paragraph" w:styleId="Heading7">
    <w:name w:val="heading 7"/>
    <w:basedOn w:val="Normal"/>
    <w:next w:val="Normal"/>
    <w:link w:val="Heading7Char"/>
    <w:rsid w:val="00330398"/>
    <w:pPr>
      <w:numPr>
        <w:ilvl w:val="6"/>
        <w:numId w:val="5"/>
      </w:numPr>
      <w:spacing w:after="60"/>
      <w:outlineLvl w:val="6"/>
    </w:pPr>
    <w:rPr>
      <w:rFonts w:ascii="Times New Roman" w:hAnsi="Times New Roman"/>
    </w:rPr>
  </w:style>
  <w:style w:type="paragraph" w:styleId="Heading8">
    <w:name w:val="heading 8"/>
    <w:basedOn w:val="Normal"/>
    <w:next w:val="Normal"/>
    <w:link w:val="Heading8Char"/>
    <w:rsid w:val="00330398"/>
    <w:pPr>
      <w:numPr>
        <w:ilvl w:val="7"/>
        <w:numId w:val="5"/>
      </w:numPr>
      <w:spacing w:after="60"/>
      <w:outlineLvl w:val="7"/>
    </w:pPr>
    <w:rPr>
      <w:rFonts w:ascii="Times New Roman" w:hAnsi="Times New Roman"/>
      <w:i/>
      <w:iCs/>
    </w:rPr>
  </w:style>
  <w:style w:type="paragraph" w:styleId="Heading9">
    <w:name w:val="heading 9"/>
    <w:basedOn w:val="Normal"/>
    <w:next w:val="Normal"/>
    <w:link w:val="Heading9Char"/>
    <w:rsid w:val="00330398"/>
    <w:pPr>
      <w:tabs>
        <w:tab w:val="num" w:pos="1584"/>
      </w:tabs>
      <w:spacing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A0058"/>
    <w:rPr>
      <w:rFonts w:ascii="Arial" w:hAnsi="Arial" w:cs="Arial"/>
      <w:bCs/>
      <w:sz w:val="48"/>
      <w:szCs w:val="48"/>
      <w:lang w:eastAsia="en-US"/>
    </w:rPr>
  </w:style>
  <w:style w:type="character" w:customStyle="1" w:styleId="Heading2Char">
    <w:name w:val="Heading 2 Char"/>
    <w:link w:val="Heading2"/>
    <w:rsid w:val="00BA0058"/>
    <w:rPr>
      <w:rFonts w:ascii="Arial" w:hAnsi="Arial" w:cs="Arial"/>
      <w:bCs/>
      <w:sz w:val="36"/>
      <w:szCs w:val="36"/>
      <w:lang w:eastAsia="en-US"/>
    </w:rPr>
  </w:style>
  <w:style w:type="character" w:customStyle="1" w:styleId="Heading3Char">
    <w:name w:val="Heading 3 Char"/>
    <w:link w:val="Heading3"/>
    <w:rsid w:val="00D4783D"/>
    <w:rPr>
      <w:rFonts w:ascii="Arial" w:hAnsi="Arial" w:cs="Arial"/>
      <w:sz w:val="28"/>
      <w:szCs w:val="36"/>
      <w:lang w:eastAsia="en-US"/>
    </w:rPr>
  </w:style>
  <w:style w:type="character" w:customStyle="1" w:styleId="Heading4Char">
    <w:name w:val="Heading 4 Char"/>
    <w:link w:val="Heading4"/>
    <w:rsid w:val="00330398"/>
    <w:rPr>
      <w:b/>
      <w:bCs/>
      <w:sz w:val="28"/>
      <w:szCs w:val="28"/>
      <w:lang w:eastAsia="en-US"/>
    </w:rPr>
  </w:style>
  <w:style w:type="character" w:customStyle="1" w:styleId="Heading5Char">
    <w:name w:val="Heading 5 Char"/>
    <w:link w:val="Heading5"/>
    <w:rsid w:val="00330398"/>
    <w:rPr>
      <w:rFonts w:ascii="Arial" w:hAnsi="Arial"/>
      <w:b/>
      <w:bCs/>
      <w:i/>
      <w:iCs/>
      <w:sz w:val="26"/>
      <w:szCs w:val="26"/>
      <w:lang w:eastAsia="en-US"/>
    </w:rPr>
  </w:style>
  <w:style w:type="character" w:customStyle="1" w:styleId="Heading6Char">
    <w:name w:val="Heading 6 Char"/>
    <w:link w:val="Heading6"/>
    <w:rsid w:val="00330398"/>
    <w:rPr>
      <w:b/>
      <w:bCs/>
      <w:sz w:val="22"/>
      <w:szCs w:val="22"/>
      <w:lang w:eastAsia="en-US"/>
    </w:rPr>
  </w:style>
  <w:style w:type="character" w:customStyle="1" w:styleId="Heading7Char">
    <w:name w:val="Heading 7 Char"/>
    <w:link w:val="Heading7"/>
    <w:rsid w:val="00330398"/>
    <w:rPr>
      <w:sz w:val="24"/>
      <w:szCs w:val="24"/>
      <w:lang w:eastAsia="en-US"/>
    </w:rPr>
  </w:style>
  <w:style w:type="character" w:customStyle="1" w:styleId="Heading8Char">
    <w:name w:val="Heading 8 Char"/>
    <w:link w:val="Heading8"/>
    <w:rsid w:val="00330398"/>
    <w:rPr>
      <w:i/>
      <w:iCs/>
      <w:sz w:val="24"/>
      <w:szCs w:val="24"/>
      <w:lang w:eastAsia="en-US"/>
    </w:rPr>
  </w:style>
  <w:style w:type="character" w:customStyle="1" w:styleId="Heading9Char">
    <w:name w:val="Heading 9 Char"/>
    <w:link w:val="Heading9"/>
    <w:rsid w:val="00330398"/>
    <w:rPr>
      <w:rFonts w:ascii="Arial" w:hAnsi="Arial" w:cs="Arial"/>
      <w:sz w:val="22"/>
      <w:szCs w:val="22"/>
      <w:lang w:eastAsia="en-US"/>
    </w:rPr>
  </w:style>
  <w:style w:type="paragraph" w:styleId="Caption">
    <w:name w:val="caption"/>
    <w:aliases w:val="Captions - Tables &amp; Figures"/>
    <w:basedOn w:val="Normal"/>
    <w:next w:val="Normal"/>
    <w:unhideWhenUsed/>
    <w:qFormat/>
    <w:rsid w:val="00D4783D"/>
    <w:pPr>
      <w:keepNext/>
      <w:spacing w:after="200"/>
    </w:pPr>
    <w:rPr>
      <w:b/>
      <w:bCs/>
      <w:szCs w:val="18"/>
    </w:rPr>
  </w:style>
  <w:style w:type="paragraph" w:styleId="Title">
    <w:name w:val="Title"/>
    <w:basedOn w:val="Normal"/>
    <w:next w:val="Normal"/>
    <w:link w:val="TitleChar"/>
    <w:rsid w:val="0033039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330398"/>
    <w:rPr>
      <w:rFonts w:ascii="Cambria" w:eastAsia="Times New Roman" w:hAnsi="Cambria" w:cs="Times New Roman"/>
      <w:color w:val="17365D"/>
      <w:spacing w:val="5"/>
      <w:kern w:val="28"/>
      <w:sz w:val="52"/>
      <w:szCs w:val="52"/>
      <w:lang w:eastAsia="en-US"/>
    </w:rPr>
  </w:style>
  <w:style w:type="paragraph" w:styleId="Subtitle">
    <w:name w:val="Subtitle"/>
    <w:basedOn w:val="Normal"/>
    <w:next w:val="Normal"/>
    <w:link w:val="SubtitleChar"/>
    <w:rsid w:val="00330398"/>
    <w:pPr>
      <w:numPr>
        <w:ilvl w:val="1"/>
      </w:numPr>
    </w:pPr>
    <w:rPr>
      <w:rFonts w:ascii="Cambria" w:hAnsi="Cambria"/>
      <w:i/>
      <w:iCs/>
      <w:color w:val="4F81BD"/>
      <w:spacing w:val="15"/>
    </w:rPr>
  </w:style>
  <w:style w:type="character" w:customStyle="1" w:styleId="SubtitleChar">
    <w:name w:val="Subtitle Char"/>
    <w:link w:val="Subtitle"/>
    <w:rsid w:val="00330398"/>
    <w:rPr>
      <w:rFonts w:ascii="Cambria" w:eastAsia="Times New Roman" w:hAnsi="Cambria" w:cs="Times New Roman"/>
      <w:i/>
      <w:iCs/>
      <w:color w:val="4F81BD"/>
      <w:spacing w:val="15"/>
      <w:sz w:val="24"/>
      <w:szCs w:val="24"/>
      <w:lang w:eastAsia="en-US"/>
    </w:rPr>
  </w:style>
  <w:style w:type="character" w:styleId="Strong">
    <w:name w:val="Strong"/>
    <w:rsid w:val="00330398"/>
    <w:rPr>
      <w:b/>
      <w:bCs/>
    </w:rPr>
  </w:style>
  <w:style w:type="character" w:styleId="Emphasis">
    <w:name w:val="Emphasis"/>
    <w:rsid w:val="00330398"/>
    <w:rPr>
      <w:i/>
      <w:iCs/>
    </w:rPr>
  </w:style>
  <w:style w:type="paragraph" w:styleId="NoSpacing">
    <w:name w:val="No Spacing"/>
    <w:basedOn w:val="Normal"/>
    <w:link w:val="NoSpacingChar"/>
    <w:uiPriority w:val="1"/>
    <w:rsid w:val="00330398"/>
  </w:style>
  <w:style w:type="character" w:customStyle="1" w:styleId="NoSpacingChar">
    <w:name w:val="No Spacing Char"/>
    <w:link w:val="NoSpacing"/>
    <w:uiPriority w:val="1"/>
    <w:rsid w:val="00330398"/>
    <w:rPr>
      <w:rFonts w:ascii="Arial" w:hAnsi="Arial"/>
      <w:sz w:val="22"/>
      <w:szCs w:val="24"/>
      <w:lang w:eastAsia="en-US"/>
    </w:rPr>
  </w:style>
  <w:style w:type="paragraph" w:styleId="ListParagraph">
    <w:name w:val="List Paragraph"/>
    <w:basedOn w:val="Normal"/>
    <w:link w:val="ListParagraphChar"/>
    <w:uiPriority w:val="34"/>
    <w:rsid w:val="00330398"/>
    <w:pPr>
      <w:ind w:left="720"/>
      <w:contextualSpacing/>
    </w:pPr>
  </w:style>
  <w:style w:type="paragraph" w:styleId="Quote">
    <w:name w:val="Quote"/>
    <w:basedOn w:val="Normal"/>
    <w:next w:val="Normal"/>
    <w:link w:val="QuoteChar"/>
    <w:uiPriority w:val="29"/>
    <w:rsid w:val="00330398"/>
    <w:rPr>
      <w:i/>
      <w:iCs/>
      <w:color w:val="000000"/>
    </w:rPr>
  </w:style>
  <w:style w:type="character" w:customStyle="1" w:styleId="QuoteChar">
    <w:name w:val="Quote Char"/>
    <w:link w:val="Quote"/>
    <w:uiPriority w:val="29"/>
    <w:rsid w:val="00330398"/>
    <w:rPr>
      <w:rFonts w:ascii="Arial" w:hAnsi="Arial"/>
      <w:i/>
      <w:iCs/>
      <w:color w:val="000000"/>
      <w:sz w:val="22"/>
      <w:szCs w:val="24"/>
      <w:lang w:eastAsia="en-US"/>
    </w:rPr>
  </w:style>
  <w:style w:type="paragraph" w:styleId="IntenseQuote">
    <w:name w:val="Intense Quote"/>
    <w:basedOn w:val="Normal"/>
    <w:next w:val="Normal"/>
    <w:link w:val="IntenseQuoteChar"/>
    <w:uiPriority w:val="30"/>
    <w:rsid w:val="0033039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0398"/>
    <w:rPr>
      <w:rFonts w:ascii="Arial" w:hAnsi="Arial"/>
      <w:b/>
      <w:bCs/>
      <w:i/>
      <w:iCs/>
      <w:color w:val="4F81BD"/>
      <w:sz w:val="22"/>
      <w:szCs w:val="24"/>
      <w:lang w:eastAsia="en-US"/>
    </w:rPr>
  </w:style>
  <w:style w:type="character" w:styleId="SubtleEmphasis">
    <w:name w:val="Subtle Emphasis"/>
    <w:uiPriority w:val="19"/>
    <w:rsid w:val="00330398"/>
    <w:rPr>
      <w:i/>
      <w:iCs/>
      <w:color w:val="808080"/>
    </w:rPr>
  </w:style>
  <w:style w:type="character" w:styleId="IntenseEmphasis">
    <w:name w:val="Intense Emphasis"/>
    <w:uiPriority w:val="21"/>
    <w:rsid w:val="00330398"/>
    <w:rPr>
      <w:b/>
      <w:bCs/>
      <w:i/>
      <w:iCs/>
      <w:color w:val="4F81BD"/>
    </w:rPr>
  </w:style>
  <w:style w:type="character" w:styleId="SubtleReference">
    <w:name w:val="Subtle Reference"/>
    <w:uiPriority w:val="31"/>
    <w:rsid w:val="00330398"/>
    <w:rPr>
      <w:smallCaps/>
      <w:color w:val="C0504D"/>
      <w:u w:val="single"/>
    </w:rPr>
  </w:style>
  <w:style w:type="character" w:styleId="IntenseReference">
    <w:name w:val="Intense Reference"/>
    <w:uiPriority w:val="32"/>
    <w:rsid w:val="00330398"/>
    <w:rPr>
      <w:b/>
      <w:bCs/>
      <w:smallCaps/>
      <w:color w:val="C0504D"/>
      <w:spacing w:val="5"/>
      <w:u w:val="single"/>
    </w:rPr>
  </w:style>
  <w:style w:type="character" w:styleId="BookTitle">
    <w:name w:val="Book Title"/>
    <w:uiPriority w:val="33"/>
    <w:rsid w:val="00330398"/>
    <w:rPr>
      <w:b/>
      <w:bCs/>
      <w:smallCaps/>
      <w:spacing w:val="5"/>
    </w:rPr>
  </w:style>
  <w:style w:type="paragraph" w:styleId="TOCHeading">
    <w:name w:val="TOC Heading"/>
    <w:basedOn w:val="Heading1"/>
    <w:next w:val="Normal"/>
    <w:uiPriority w:val="39"/>
    <w:semiHidden/>
    <w:unhideWhenUsed/>
    <w:qFormat/>
    <w:rsid w:val="00330398"/>
    <w:pPr>
      <w:keepLines/>
      <w:spacing w:before="480"/>
      <w:outlineLvl w:val="9"/>
    </w:pPr>
    <w:rPr>
      <w:rFonts w:ascii="Cambria" w:hAnsi="Cambria"/>
      <w:caps/>
      <w:color w:val="365F91"/>
      <w:szCs w:val="28"/>
    </w:rPr>
  </w:style>
  <w:style w:type="paragraph" w:styleId="Header">
    <w:name w:val="header"/>
    <w:basedOn w:val="Normal"/>
    <w:link w:val="HeaderChar"/>
    <w:unhideWhenUsed/>
    <w:rsid w:val="002948CE"/>
    <w:pPr>
      <w:tabs>
        <w:tab w:val="center" w:pos="4513"/>
        <w:tab w:val="right" w:pos="9026"/>
      </w:tabs>
      <w:spacing w:before="0" w:after="0" w:line="240" w:lineRule="auto"/>
    </w:pPr>
  </w:style>
  <w:style w:type="character" w:customStyle="1" w:styleId="HeaderChar">
    <w:name w:val="Header Char"/>
    <w:link w:val="Header"/>
    <w:rsid w:val="002948CE"/>
    <w:rPr>
      <w:rFonts w:ascii="Arial" w:hAnsi="Arial"/>
      <w:sz w:val="22"/>
      <w:szCs w:val="24"/>
      <w:lang w:eastAsia="en-US"/>
    </w:rPr>
  </w:style>
  <w:style w:type="paragraph" w:styleId="Footer">
    <w:name w:val="footer"/>
    <w:basedOn w:val="Normal"/>
    <w:link w:val="FooterChar"/>
    <w:uiPriority w:val="99"/>
    <w:unhideWhenUsed/>
    <w:rsid w:val="002948CE"/>
    <w:pPr>
      <w:tabs>
        <w:tab w:val="center" w:pos="4513"/>
        <w:tab w:val="right" w:pos="9026"/>
      </w:tabs>
      <w:spacing w:before="0" w:after="0" w:line="240" w:lineRule="auto"/>
    </w:pPr>
  </w:style>
  <w:style w:type="character" w:customStyle="1" w:styleId="FooterChar">
    <w:name w:val="Footer Char"/>
    <w:link w:val="Footer"/>
    <w:uiPriority w:val="99"/>
    <w:rsid w:val="002948CE"/>
    <w:rPr>
      <w:rFonts w:ascii="Arial" w:hAnsi="Arial"/>
      <w:sz w:val="22"/>
      <w:szCs w:val="24"/>
      <w:lang w:eastAsia="en-US"/>
    </w:rPr>
  </w:style>
  <w:style w:type="paragraph" w:customStyle="1" w:styleId="SecurityClassification">
    <w:name w:val="Security Classification"/>
    <w:basedOn w:val="Header"/>
    <w:link w:val="SecurityClassificationChar"/>
    <w:rsid w:val="002948CE"/>
    <w:pPr>
      <w:spacing w:before="120" w:after="120"/>
      <w:jc w:val="center"/>
    </w:pPr>
    <w:rPr>
      <w:b/>
      <w:color w:val="006D68"/>
      <w:szCs w:val="14"/>
    </w:rPr>
  </w:style>
  <w:style w:type="table" w:styleId="TableGrid">
    <w:name w:val="Table Grid"/>
    <w:basedOn w:val="TableNormal"/>
    <w:uiPriority w:val="59"/>
    <w:rsid w:val="0029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urityClassificationChar">
    <w:name w:val="Security Classification Char"/>
    <w:link w:val="SecurityClassification"/>
    <w:rsid w:val="002948CE"/>
    <w:rPr>
      <w:rFonts w:ascii="Arial" w:hAnsi="Arial"/>
      <w:b/>
      <w:color w:val="006D68"/>
      <w:sz w:val="22"/>
      <w:szCs w:val="14"/>
      <w:lang w:eastAsia="en-US"/>
    </w:rPr>
  </w:style>
  <w:style w:type="paragraph" w:styleId="TOC1">
    <w:name w:val="toc 1"/>
    <w:basedOn w:val="Normal"/>
    <w:next w:val="Normal"/>
    <w:autoRedefine/>
    <w:uiPriority w:val="39"/>
    <w:unhideWhenUsed/>
    <w:rsid w:val="005739E1"/>
    <w:pPr>
      <w:spacing w:after="100"/>
    </w:pPr>
  </w:style>
  <w:style w:type="paragraph" w:styleId="TOC2">
    <w:name w:val="toc 2"/>
    <w:basedOn w:val="Normal"/>
    <w:next w:val="Normal"/>
    <w:autoRedefine/>
    <w:uiPriority w:val="39"/>
    <w:unhideWhenUsed/>
    <w:rsid w:val="002948CE"/>
    <w:pPr>
      <w:spacing w:after="100"/>
      <w:ind w:left="220"/>
    </w:pPr>
  </w:style>
  <w:style w:type="paragraph" w:styleId="TOC3">
    <w:name w:val="toc 3"/>
    <w:basedOn w:val="Normal"/>
    <w:next w:val="Normal"/>
    <w:autoRedefine/>
    <w:uiPriority w:val="39"/>
    <w:unhideWhenUsed/>
    <w:rsid w:val="002948CE"/>
    <w:pPr>
      <w:spacing w:after="100"/>
      <w:ind w:left="440"/>
    </w:pPr>
  </w:style>
  <w:style w:type="character" w:styleId="Hyperlink">
    <w:name w:val="Hyperlink"/>
    <w:uiPriority w:val="99"/>
    <w:unhideWhenUsed/>
    <w:rsid w:val="002948CE"/>
    <w:rPr>
      <w:color w:val="0000FF"/>
      <w:u w:val="single"/>
    </w:rPr>
  </w:style>
  <w:style w:type="paragraph" w:styleId="BalloonText">
    <w:name w:val="Balloon Text"/>
    <w:basedOn w:val="Normal"/>
    <w:link w:val="BalloonTextChar"/>
    <w:uiPriority w:val="99"/>
    <w:semiHidden/>
    <w:unhideWhenUsed/>
    <w:rsid w:val="002948CE"/>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948CE"/>
    <w:rPr>
      <w:rFonts w:ascii="Tahoma" w:hAnsi="Tahoma" w:cs="Tahoma"/>
      <w:sz w:val="16"/>
      <w:szCs w:val="16"/>
      <w:lang w:eastAsia="en-US"/>
    </w:rPr>
  </w:style>
  <w:style w:type="paragraph" w:customStyle="1" w:styleId="BulletPoint">
    <w:name w:val="Bullet Point"/>
    <w:basedOn w:val="ListParagraph"/>
    <w:link w:val="BulletPointChar"/>
    <w:qFormat/>
    <w:rsid w:val="00EB324F"/>
    <w:pPr>
      <w:numPr>
        <w:numId w:val="12"/>
      </w:numPr>
      <w:spacing w:line="240" w:lineRule="auto"/>
      <w:ind w:left="1701" w:hanging="425"/>
    </w:pPr>
    <w:rPr>
      <w:rFonts w:cs="Arial"/>
    </w:rPr>
  </w:style>
  <w:style w:type="character" w:customStyle="1" w:styleId="ListParagraphChar">
    <w:name w:val="List Paragraph Char"/>
    <w:link w:val="ListParagraph"/>
    <w:uiPriority w:val="34"/>
    <w:rsid w:val="006407CF"/>
    <w:rPr>
      <w:rFonts w:ascii="Arial" w:hAnsi="Arial"/>
      <w:sz w:val="22"/>
      <w:szCs w:val="24"/>
      <w:lang w:eastAsia="en-US"/>
    </w:rPr>
  </w:style>
  <w:style w:type="character" w:customStyle="1" w:styleId="BulletPointChar">
    <w:name w:val="Bullet Point Char"/>
    <w:basedOn w:val="ListParagraphChar"/>
    <w:link w:val="BulletPoint"/>
    <w:rsid w:val="00EB324F"/>
    <w:rPr>
      <w:rFonts w:ascii="Arial" w:hAnsi="Arial" w:cs="Arial"/>
      <w:sz w:val="24"/>
      <w:szCs w:val="24"/>
      <w:lang w:eastAsia="en-US"/>
    </w:rPr>
  </w:style>
  <w:style w:type="character" w:styleId="CommentReference">
    <w:name w:val="annotation reference"/>
    <w:basedOn w:val="DefaultParagraphFont"/>
    <w:uiPriority w:val="99"/>
    <w:semiHidden/>
    <w:unhideWhenUsed/>
    <w:rsid w:val="00A10EB9"/>
    <w:rPr>
      <w:sz w:val="16"/>
      <w:szCs w:val="16"/>
    </w:rPr>
  </w:style>
  <w:style w:type="paragraph" w:styleId="CommentText">
    <w:name w:val="annotation text"/>
    <w:basedOn w:val="Normal"/>
    <w:link w:val="CommentTextChar"/>
    <w:uiPriority w:val="99"/>
    <w:unhideWhenUsed/>
    <w:rsid w:val="00A10EB9"/>
    <w:pPr>
      <w:spacing w:line="240" w:lineRule="auto"/>
    </w:pPr>
    <w:rPr>
      <w:sz w:val="20"/>
      <w:szCs w:val="20"/>
    </w:rPr>
  </w:style>
  <w:style w:type="character" w:customStyle="1" w:styleId="CommentTextChar">
    <w:name w:val="Comment Text Char"/>
    <w:basedOn w:val="DefaultParagraphFont"/>
    <w:link w:val="CommentText"/>
    <w:uiPriority w:val="99"/>
    <w:rsid w:val="00A10EB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10EB9"/>
    <w:rPr>
      <w:b/>
      <w:bCs/>
    </w:rPr>
  </w:style>
  <w:style w:type="character" w:customStyle="1" w:styleId="CommentSubjectChar">
    <w:name w:val="Comment Subject Char"/>
    <w:basedOn w:val="CommentTextChar"/>
    <w:link w:val="CommentSubject"/>
    <w:uiPriority w:val="99"/>
    <w:semiHidden/>
    <w:rsid w:val="00A10EB9"/>
    <w:rPr>
      <w:rFonts w:ascii="Arial" w:hAnsi="Arial"/>
      <w:b/>
      <w:bCs/>
      <w:lang w:eastAsia="en-US"/>
    </w:rPr>
  </w:style>
  <w:style w:type="table" w:styleId="GridTable1Light-Accent6">
    <w:name w:val="Grid Table 1 Light Accent 6"/>
    <w:basedOn w:val="TableNormal"/>
    <w:uiPriority w:val="46"/>
    <w:rsid w:val="005739E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5739E1"/>
    <w:rPr>
      <w:rFonts w:ascii="Arial" w:hAnsi="Arial"/>
      <w:sz w:val="24"/>
    </w:rPr>
    <w:tblPr>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Pr>
    <w:tblStylePr w:type="firstRow">
      <w:rPr>
        <w:b/>
        <w:color w:val="FFFFFF" w:themeColor="background1"/>
      </w:rPr>
      <w:tblPr/>
      <w:tcPr>
        <w:shd w:val="clear" w:color="auto" w:fill="006D68"/>
      </w:tcPr>
    </w:tblStylePr>
  </w:style>
  <w:style w:type="paragraph" w:customStyle="1" w:styleId="NumberedParagraph">
    <w:name w:val="Numbered Paragraph"/>
    <w:basedOn w:val="Normal"/>
    <w:link w:val="NumberedParagraphChar"/>
    <w:qFormat/>
    <w:rsid w:val="00BA0058"/>
    <w:pPr>
      <w:numPr>
        <w:numId w:val="21"/>
      </w:numPr>
      <w:spacing w:line="240" w:lineRule="auto"/>
      <w:ind w:left="851" w:hanging="851"/>
    </w:pPr>
    <w:rPr>
      <w:rFonts w:cs="Arial"/>
    </w:rPr>
  </w:style>
  <w:style w:type="character" w:customStyle="1" w:styleId="NumberedParagraphChar">
    <w:name w:val="Numbered Paragraph Char"/>
    <w:basedOn w:val="DefaultParagraphFont"/>
    <w:link w:val="NumberedParagraph"/>
    <w:rsid w:val="00BA0058"/>
    <w:rPr>
      <w:rFonts w:ascii="Arial" w:hAnsi="Arial" w:cs="Arial"/>
      <w:sz w:val="24"/>
      <w:szCs w:val="24"/>
      <w:lang w:eastAsia="en-US"/>
    </w:rPr>
  </w:style>
  <w:style w:type="paragraph" w:styleId="Bibliography">
    <w:name w:val="Bibliography"/>
    <w:basedOn w:val="Normal"/>
    <w:next w:val="Normal"/>
    <w:uiPriority w:val="37"/>
    <w:unhideWhenUsed/>
    <w:rsid w:val="00126624"/>
  </w:style>
  <w:style w:type="character" w:styleId="UnresolvedMention">
    <w:name w:val="Unresolved Mention"/>
    <w:basedOn w:val="DefaultParagraphFont"/>
    <w:uiPriority w:val="99"/>
    <w:semiHidden/>
    <w:unhideWhenUsed/>
    <w:rsid w:val="00F10A77"/>
    <w:rPr>
      <w:color w:val="605E5C"/>
      <w:shd w:val="clear" w:color="auto" w:fill="E1DFDD"/>
    </w:rPr>
  </w:style>
  <w:style w:type="paragraph" w:styleId="FootnoteText">
    <w:name w:val="footnote text"/>
    <w:basedOn w:val="Normal"/>
    <w:link w:val="FootnoteTextChar"/>
    <w:uiPriority w:val="99"/>
    <w:semiHidden/>
    <w:unhideWhenUsed/>
    <w:rsid w:val="0006353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63536"/>
    <w:rPr>
      <w:rFonts w:ascii="Arial" w:hAnsi="Arial"/>
      <w:lang w:eastAsia="en-US"/>
    </w:rPr>
  </w:style>
  <w:style w:type="character" w:styleId="FootnoteReference">
    <w:name w:val="footnote reference"/>
    <w:basedOn w:val="DefaultParagraphFont"/>
    <w:uiPriority w:val="99"/>
    <w:semiHidden/>
    <w:unhideWhenUsed/>
    <w:rsid w:val="00063536"/>
    <w:rPr>
      <w:vertAlign w:val="superscript"/>
    </w:rPr>
  </w:style>
  <w:style w:type="paragraph" w:styleId="Revision">
    <w:name w:val="Revision"/>
    <w:hidden/>
    <w:uiPriority w:val="99"/>
    <w:semiHidden/>
    <w:rsid w:val="004528BE"/>
    <w:rPr>
      <w:rFonts w:ascii="Arial" w:hAnsi="Arial"/>
      <w:sz w:val="24"/>
      <w:szCs w:val="24"/>
      <w:lang w:eastAsia="en-US"/>
    </w:rPr>
  </w:style>
  <w:style w:type="paragraph" w:styleId="EndnoteText">
    <w:name w:val="endnote text"/>
    <w:basedOn w:val="Normal"/>
    <w:link w:val="EndnoteTextChar"/>
    <w:uiPriority w:val="99"/>
    <w:semiHidden/>
    <w:unhideWhenUsed/>
    <w:rsid w:val="007837A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837A6"/>
    <w:rPr>
      <w:rFonts w:ascii="Arial" w:hAnsi="Arial"/>
      <w:lang w:eastAsia="en-US"/>
    </w:rPr>
  </w:style>
  <w:style w:type="character" w:styleId="EndnoteReference">
    <w:name w:val="endnote reference"/>
    <w:basedOn w:val="DefaultParagraphFont"/>
    <w:uiPriority w:val="99"/>
    <w:semiHidden/>
    <w:unhideWhenUsed/>
    <w:rsid w:val="007837A6"/>
    <w:rPr>
      <w:vertAlign w:val="superscript"/>
    </w:rPr>
  </w:style>
  <w:style w:type="character" w:styleId="FollowedHyperlink">
    <w:name w:val="FollowedHyperlink"/>
    <w:basedOn w:val="DefaultParagraphFont"/>
    <w:uiPriority w:val="99"/>
    <w:semiHidden/>
    <w:unhideWhenUsed/>
    <w:rsid w:val="00A34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197">
      <w:bodyDiv w:val="1"/>
      <w:marLeft w:val="0"/>
      <w:marRight w:val="0"/>
      <w:marTop w:val="0"/>
      <w:marBottom w:val="0"/>
      <w:divBdr>
        <w:top w:val="none" w:sz="0" w:space="0" w:color="auto"/>
        <w:left w:val="none" w:sz="0" w:space="0" w:color="auto"/>
        <w:bottom w:val="none" w:sz="0" w:space="0" w:color="auto"/>
        <w:right w:val="none" w:sz="0" w:space="0" w:color="auto"/>
      </w:divBdr>
    </w:div>
    <w:div w:id="32972129">
      <w:bodyDiv w:val="1"/>
      <w:marLeft w:val="0"/>
      <w:marRight w:val="0"/>
      <w:marTop w:val="0"/>
      <w:marBottom w:val="0"/>
      <w:divBdr>
        <w:top w:val="none" w:sz="0" w:space="0" w:color="auto"/>
        <w:left w:val="none" w:sz="0" w:space="0" w:color="auto"/>
        <w:bottom w:val="none" w:sz="0" w:space="0" w:color="auto"/>
        <w:right w:val="none" w:sz="0" w:space="0" w:color="auto"/>
      </w:divBdr>
    </w:div>
    <w:div w:id="52586535">
      <w:bodyDiv w:val="1"/>
      <w:marLeft w:val="0"/>
      <w:marRight w:val="0"/>
      <w:marTop w:val="0"/>
      <w:marBottom w:val="0"/>
      <w:divBdr>
        <w:top w:val="none" w:sz="0" w:space="0" w:color="auto"/>
        <w:left w:val="none" w:sz="0" w:space="0" w:color="auto"/>
        <w:bottom w:val="none" w:sz="0" w:space="0" w:color="auto"/>
        <w:right w:val="none" w:sz="0" w:space="0" w:color="auto"/>
      </w:divBdr>
    </w:div>
    <w:div w:id="55783657">
      <w:bodyDiv w:val="1"/>
      <w:marLeft w:val="0"/>
      <w:marRight w:val="0"/>
      <w:marTop w:val="0"/>
      <w:marBottom w:val="0"/>
      <w:divBdr>
        <w:top w:val="none" w:sz="0" w:space="0" w:color="auto"/>
        <w:left w:val="none" w:sz="0" w:space="0" w:color="auto"/>
        <w:bottom w:val="none" w:sz="0" w:space="0" w:color="auto"/>
        <w:right w:val="none" w:sz="0" w:space="0" w:color="auto"/>
      </w:divBdr>
    </w:div>
    <w:div w:id="106777775">
      <w:bodyDiv w:val="1"/>
      <w:marLeft w:val="0"/>
      <w:marRight w:val="0"/>
      <w:marTop w:val="0"/>
      <w:marBottom w:val="0"/>
      <w:divBdr>
        <w:top w:val="none" w:sz="0" w:space="0" w:color="auto"/>
        <w:left w:val="none" w:sz="0" w:space="0" w:color="auto"/>
        <w:bottom w:val="none" w:sz="0" w:space="0" w:color="auto"/>
        <w:right w:val="none" w:sz="0" w:space="0" w:color="auto"/>
      </w:divBdr>
    </w:div>
    <w:div w:id="124584213">
      <w:bodyDiv w:val="1"/>
      <w:marLeft w:val="0"/>
      <w:marRight w:val="0"/>
      <w:marTop w:val="0"/>
      <w:marBottom w:val="0"/>
      <w:divBdr>
        <w:top w:val="none" w:sz="0" w:space="0" w:color="auto"/>
        <w:left w:val="none" w:sz="0" w:space="0" w:color="auto"/>
        <w:bottom w:val="none" w:sz="0" w:space="0" w:color="auto"/>
        <w:right w:val="none" w:sz="0" w:space="0" w:color="auto"/>
      </w:divBdr>
    </w:div>
    <w:div w:id="127943564">
      <w:bodyDiv w:val="1"/>
      <w:marLeft w:val="0"/>
      <w:marRight w:val="0"/>
      <w:marTop w:val="0"/>
      <w:marBottom w:val="0"/>
      <w:divBdr>
        <w:top w:val="none" w:sz="0" w:space="0" w:color="auto"/>
        <w:left w:val="none" w:sz="0" w:space="0" w:color="auto"/>
        <w:bottom w:val="none" w:sz="0" w:space="0" w:color="auto"/>
        <w:right w:val="none" w:sz="0" w:space="0" w:color="auto"/>
      </w:divBdr>
    </w:div>
    <w:div w:id="145359485">
      <w:bodyDiv w:val="1"/>
      <w:marLeft w:val="0"/>
      <w:marRight w:val="0"/>
      <w:marTop w:val="0"/>
      <w:marBottom w:val="0"/>
      <w:divBdr>
        <w:top w:val="none" w:sz="0" w:space="0" w:color="auto"/>
        <w:left w:val="none" w:sz="0" w:space="0" w:color="auto"/>
        <w:bottom w:val="none" w:sz="0" w:space="0" w:color="auto"/>
        <w:right w:val="none" w:sz="0" w:space="0" w:color="auto"/>
      </w:divBdr>
    </w:div>
    <w:div w:id="181475152">
      <w:bodyDiv w:val="1"/>
      <w:marLeft w:val="0"/>
      <w:marRight w:val="0"/>
      <w:marTop w:val="0"/>
      <w:marBottom w:val="0"/>
      <w:divBdr>
        <w:top w:val="none" w:sz="0" w:space="0" w:color="auto"/>
        <w:left w:val="none" w:sz="0" w:space="0" w:color="auto"/>
        <w:bottom w:val="none" w:sz="0" w:space="0" w:color="auto"/>
        <w:right w:val="none" w:sz="0" w:space="0" w:color="auto"/>
      </w:divBdr>
    </w:div>
    <w:div w:id="203563745">
      <w:bodyDiv w:val="1"/>
      <w:marLeft w:val="0"/>
      <w:marRight w:val="0"/>
      <w:marTop w:val="0"/>
      <w:marBottom w:val="0"/>
      <w:divBdr>
        <w:top w:val="none" w:sz="0" w:space="0" w:color="auto"/>
        <w:left w:val="none" w:sz="0" w:space="0" w:color="auto"/>
        <w:bottom w:val="none" w:sz="0" w:space="0" w:color="auto"/>
        <w:right w:val="none" w:sz="0" w:space="0" w:color="auto"/>
      </w:divBdr>
    </w:div>
    <w:div w:id="231354057">
      <w:bodyDiv w:val="1"/>
      <w:marLeft w:val="0"/>
      <w:marRight w:val="0"/>
      <w:marTop w:val="0"/>
      <w:marBottom w:val="0"/>
      <w:divBdr>
        <w:top w:val="none" w:sz="0" w:space="0" w:color="auto"/>
        <w:left w:val="none" w:sz="0" w:space="0" w:color="auto"/>
        <w:bottom w:val="none" w:sz="0" w:space="0" w:color="auto"/>
        <w:right w:val="none" w:sz="0" w:space="0" w:color="auto"/>
      </w:divBdr>
    </w:div>
    <w:div w:id="316810804">
      <w:bodyDiv w:val="1"/>
      <w:marLeft w:val="0"/>
      <w:marRight w:val="0"/>
      <w:marTop w:val="0"/>
      <w:marBottom w:val="0"/>
      <w:divBdr>
        <w:top w:val="none" w:sz="0" w:space="0" w:color="auto"/>
        <w:left w:val="none" w:sz="0" w:space="0" w:color="auto"/>
        <w:bottom w:val="none" w:sz="0" w:space="0" w:color="auto"/>
        <w:right w:val="none" w:sz="0" w:space="0" w:color="auto"/>
      </w:divBdr>
    </w:div>
    <w:div w:id="344212671">
      <w:bodyDiv w:val="1"/>
      <w:marLeft w:val="0"/>
      <w:marRight w:val="0"/>
      <w:marTop w:val="0"/>
      <w:marBottom w:val="0"/>
      <w:divBdr>
        <w:top w:val="none" w:sz="0" w:space="0" w:color="auto"/>
        <w:left w:val="none" w:sz="0" w:space="0" w:color="auto"/>
        <w:bottom w:val="none" w:sz="0" w:space="0" w:color="auto"/>
        <w:right w:val="none" w:sz="0" w:space="0" w:color="auto"/>
      </w:divBdr>
    </w:div>
    <w:div w:id="413431050">
      <w:bodyDiv w:val="1"/>
      <w:marLeft w:val="0"/>
      <w:marRight w:val="0"/>
      <w:marTop w:val="0"/>
      <w:marBottom w:val="0"/>
      <w:divBdr>
        <w:top w:val="none" w:sz="0" w:space="0" w:color="auto"/>
        <w:left w:val="none" w:sz="0" w:space="0" w:color="auto"/>
        <w:bottom w:val="none" w:sz="0" w:space="0" w:color="auto"/>
        <w:right w:val="none" w:sz="0" w:space="0" w:color="auto"/>
      </w:divBdr>
    </w:div>
    <w:div w:id="418141225">
      <w:bodyDiv w:val="1"/>
      <w:marLeft w:val="0"/>
      <w:marRight w:val="0"/>
      <w:marTop w:val="0"/>
      <w:marBottom w:val="0"/>
      <w:divBdr>
        <w:top w:val="none" w:sz="0" w:space="0" w:color="auto"/>
        <w:left w:val="none" w:sz="0" w:space="0" w:color="auto"/>
        <w:bottom w:val="none" w:sz="0" w:space="0" w:color="auto"/>
        <w:right w:val="none" w:sz="0" w:space="0" w:color="auto"/>
      </w:divBdr>
    </w:div>
    <w:div w:id="438765155">
      <w:bodyDiv w:val="1"/>
      <w:marLeft w:val="0"/>
      <w:marRight w:val="0"/>
      <w:marTop w:val="0"/>
      <w:marBottom w:val="0"/>
      <w:divBdr>
        <w:top w:val="none" w:sz="0" w:space="0" w:color="auto"/>
        <w:left w:val="none" w:sz="0" w:space="0" w:color="auto"/>
        <w:bottom w:val="none" w:sz="0" w:space="0" w:color="auto"/>
        <w:right w:val="none" w:sz="0" w:space="0" w:color="auto"/>
      </w:divBdr>
    </w:div>
    <w:div w:id="448596127">
      <w:bodyDiv w:val="1"/>
      <w:marLeft w:val="0"/>
      <w:marRight w:val="0"/>
      <w:marTop w:val="0"/>
      <w:marBottom w:val="0"/>
      <w:divBdr>
        <w:top w:val="none" w:sz="0" w:space="0" w:color="auto"/>
        <w:left w:val="none" w:sz="0" w:space="0" w:color="auto"/>
        <w:bottom w:val="none" w:sz="0" w:space="0" w:color="auto"/>
        <w:right w:val="none" w:sz="0" w:space="0" w:color="auto"/>
      </w:divBdr>
    </w:div>
    <w:div w:id="455638319">
      <w:bodyDiv w:val="1"/>
      <w:marLeft w:val="0"/>
      <w:marRight w:val="0"/>
      <w:marTop w:val="0"/>
      <w:marBottom w:val="0"/>
      <w:divBdr>
        <w:top w:val="none" w:sz="0" w:space="0" w:color="auto"/>
        <w:left w:val="none" w:sz="0" w:space="0" w:color="auto"/>
        <w:bottom w:val="none" w:sz="0" w:space="0" w:color="auto"/>
        <w:right w:val="none" w:sz="0" w:space="0" w:color="auto"/>
      </w:divBdr>
    </w:div>
    <w:div w:id="476605877">
      <w:bodyDiv w:val="1"/>
      <w:marLeft w:val="0"/>
      <w:marRight w:val="0"/>
      <w:marTop w:val="0"/>
      <w:marBottom w:val="0"/>
      <w:divBdr>
        <w:top w:val="none" w:sz="0" w:space="0" w:color="auto"/>
        <w:left w:val="none" w:sz="0" w:space="0" w:color="auto"/>
        <w:bottom w:val="none" w:sz="0" w:space="0" w:color="auto"/>
        <w:right w:val="none" w:sz="0" w:space="0" w:color="auto"/>
      </w:divBdr>
    </w:div>
    <w:div w:id="502821219">
      <w:bodyDiv w:val="1"/>
      <w:marLeft w:val="0"/>
      <w:marRight w:val="0"/>
      <w:marTop w:val="0"/>
      <w:marBottom w:val="0"/>
      <w:divBdr>
        <w:top w:val="none" w:sz="0" w:space="0" w:color="auto"/>
        <w:left w:val="none" w:sz="0" w:space="0" w:color="auto"/>
        <w:bottom w:val="none" w:sz="0" w:space="0" w:color="auto"/>
        <w:right w:val="none" w:sz="0" w:space="0" w:color="auto"/>
      </w:divBdr>
    </w:div>
    <w:div w:id="510219706">
      <w:bodyDiv w:val="1"/>
      <w:marLeft w:val="0"/>
      <w:marRight w:val="0"/>
      <w:marTop w:val="0"/>
      <w:marBottom w:val="0"/>
      <w:divBdr>
        <w:top w:val="none" w:sz="0" w:space="0" w:color="auto"/>
        <w:left w:val="none" w:sz="0" w:space="0" w:color="auto"/>
        <w:bottom w:val="none" w:sz="0" w:space="0" w:color="auto"/>
        <w:right w:val="none" w:sz="0" w:space="0" w:color="auto"/>
      </w:divBdr>
    </w:div>
    <w:div w:id="510995937">
      <w:bodyDiv w:val="1"/>
      <w:marLeft w:val="0"/>
      <w:marRight w:val="0"/>
      <w:marTop w:val="0"/>
      <w:marBottom w:val="0"/>
      <w:divBdr>
        <w:top w:val="none" w:sz="0" w:space="0" w:color="auto"/>
        <w:left w:val="none" w:sz="0" w:space="0" w:color="auto"/>
        <w:bottom w:val="none" w:sz="0" w:space="0" w:color="auto"/>
        <w:right w:val="none" w:sz="0" w:space="0" w:color="auto"/>
      </w:divBdr>
    </w:div>
    <w:div w:id="571352514">
      <w:bodyDiv w:val="1"/>
      <w:marLeft w:val="0"/>
      <w:marRight w:val="0"/>
      <w:marTop w:val="0"/>
      <w:marBottom w:val="0"/>
      <w:divBdr>
        <w:top w:val="none" w:sz="0" w:space="0" w:color="auto"/>
        <w:left w:val="none" w:sz="0" w:space="0" w:color="auto"/>
        <w:bottom w:val="none" w:sz="0" w:space="0" w:color="auto"/>
        <w:right w:val="none" w:sz="0" w:space="0" w:color="auto"/>
      </w:divBdr>
    </w:div>
    <w:div w:id="596183743">
      <w:bodyDiv w:val="1"/>
      <w:marLeft w:val="0"/>
      <w:marRight w:val="0"/>
      <w:marTop w:val="0"/>
      <w:marBottom w:val="0"/>
      <w:divBdr>
        <w:top w:val="none" w:sz="0" w:space="0" w:color="auto"/>
        <w:left w:val="none" w:sz="0" w:space="0" w:color="auto"/>
        <w:bottom w:val="none" w:sz="0" w:space="0" w:color="auto"/>
        <w:right w:val="none" w:sz="0" w:space="0" w:color="auto"/>
      </w:divBdr>
    </w:div>
    <w:div w:id="610405405">
      <w:bodyDiv w:val="1"/>
      <w:marLeft w:val="0"/>
      <w:marRight w:val="0"/>
      <w:marTop w:val="0"/>
      <w:marBottom w:val="0"/>
      <w:divBdr>
        <w:top w:val="none" w:sz="0" w:space="0" w:color="auto"/>
        <w:left w:val="none" w:sz="0" w:space="0" w:color="auto"/>
        <w:bottom w:val="none" w:sz="0" w:space="0" w:color="auto"/>
        <w:right w:val="none" w:sz="0" w:space="0" w:color="auto"/>
      </w:divBdr>
    </w:div>
    <w:div w:id="610891687">
      <w:bodyDiv w:val="1"/>
      <w:marLeft w:val="0"/>
      <w:marRight w:val="0"/>
      <w:marTop w:val="0"/>
      <w:marBottom w:val="0"/>
      <w:divBdr>
        <w:top w:val="none" w:sz="0" w:space="0" w:color="auto"/>
        <w:left w:val="none" w:sz="0" w:space="0" w:color="auto"/>
        <w:bottom w:val="none" w:sz="0" w:space="0" w:color="auto"/>
        <w:right w:val="none" w:sz="0" w:space="0" w:color="auto"/>
      </w:divBdr>
    </w:div>
    <w:div w:id="629828474">
      <w:bodyDiv w:val="1"/>
      <w:marLeft w:val="0"/>
      <w:marRight w:val="0"/>
      <w:marTop w:val="0"/>
      <w:marBottom w:val="0"/>
      <w:divBdr>
        <w:top w:val="none" w:sz="0" w:space="0" w:color="auto"/>
        <w:left w:val="none" w:sz="0" w:space="0" w:color="auto"/>
        <w:bottom w:val="none" w:sz="0" w:space="0" w:color="auto"/>
        <w:right w:val="none" w:sz="0" w:space="0" w:color="auto"/>
      </w:divBdr>
    </w:div>
    <w:div w:id="644048047">
      <w:bodyDiv w:val="1"/>
      <w:marLeft w:val="0"/>
      <w:marRight w:val="0"/>
      <w:marTop w:val="0"/>
      <w:marBottom w:val="0"/>
      <w:divBdr>
        <w:top w:val="none" w:sz="0" w:space="0" w:color="auto"/>
        <w:left w:val="none" w:sz="0" w:space="0" w:color="auto"/>
        <w:bottom w:val="none" w:sz="0" w:space="0" w:color="auto"/>
        <w:right w:val="none" w:sz="0" w:space="0" w:color="auto"/>
      </w:divBdr>
    </w:div>
    <w:div w:id="719480422">
      <w:bodyDiv w:val="1"/>
      <w:marLeft w:val="0"/>
      <w:marRight w:val="0"/>
      <w:marTop w:val="0"/>
      <w:marBottom w:val="0"/>
      <w:divBdr>
        <w:top w:val="none" w:sz="0" w:space="0" w:color="auto"/>
        <w:left w:val="none" w:sz="0" w:space="0" w:color="auto"/>
        <w:bottom w:val="none" w:sz="0" w:space="0" w:color="auto"/>
        <w:right w:val="none" w:sz="0" w:space="0" w:color="auto"/>
      </w:divBdr>
    </w:div>
    <w:div w:id="723914671">
      <w:bodyDiv w:val="1"/>
      <w:marLeft w:val="0"/>
      <w:marRight w:val="0"/>
      <w:marTop w:val="0"/>
      <w:marBottom w:val="0"/>
      <w:divBdr>
        <w:top w:val="none" w:sz="0" w:space="0" w:color="auto"/>
        <w:left w:val="none" w:sz="0" w:space="0" w:color="auto"/>
        <w:bottom w:val="none" w:sz="0" w:space="0" w:color="auto"/>
        <w:right w:val="none" w:sz="0" w:space="0" w:color="auto"/>
      </w:divBdr>
    </w:div>
    <w:div w:id="730614949">
      <w:bodyDiv w:val="1"/>
      <w:marLeft w:val="0"/>
      <w:marRight w:val="0"/>
      <w:marTop w:val="0"/>
      <w:marBottom w:val="0"/>
      <w:divBdr>
        <w:top w:val="none" w:sz="0" w:space="0" w:color="auto"/>
        <w:left w:val="none" w:sz="0" w:space="0" w:color="auto"/>
        <w:bottom w:val="none" w:sz="0" w:space="0" w:color="auto"/>
        <w:right w:val="none" w:sz="0" w:space="0" w:color="auto"/>
      </w:divBdr>
    </w:div>
    <w:div w:id="737096564">
      <w:bodyDiv w:val="1"/>
      <w:marLeft w:val="0"/>
      <w:marRight w:val="0"/>
      <w:marTop w:val="0"/>
      <w:marBottom w:val="0"/>
      <w:divBdr>
        <w:top w:val="none" w:sz="0" w:space="0" w:color="auto"/>
        <w:left w:val="none" w:sz="0" w:space="0" w:color="auto"/>
        <w:bottom w:val="none" w:sz="0" w:space="0" w:color="auto"/>
        <w:right w:val="none" w:sz="0" w:space="0" w:color="auto"/>
      </w:divBdr>
    </w:div>
    <w:div w:id="755126394">
      <w:bodyDiv w:val="1"/>
      <w:marLeft w:val="0"/>
      <w:marRight w:val="0"/>
      <w:marTop w:val="0"/>
      <w:marBottom w:val="0"/>
      <w:divBdr>
        <w:top w:val="none" w:sz="0" w:space="0" w:color="auto"/>
        <w:left w:val="none" w:sz="0" w:space="0" w:color="auto"/>
        <w:bottom w:val="none" w:sz="0" w:space="0" w:color="auto"/>
        <w:right w:val="none" w:sz="0" w:space="0" w:color="auto"/>
      </w:divBdr>
    </w:div>
    <w:div w:id="759789453">
      <w:bodyDiv w:val="1"/>
      <w:marLeft w:val="0"/>
      <w:marRight w:val="0"/>
      <w:marTop w:val="0"/>
      <w:marBottom w:val="0"/>
      <w:divBdr>
        <w:top w:val="none" w:sz="0" w:space="0" w:color="auto"/>
        <w:left w:val="none" w:sz="0" w:space="0" w:color="auto"/>
        <w:bottom w:val="none" w:sz="0" w:space="0" w:color="auto"/>
        <w:right w:val="none" w:sz="0" w:space="0" w:color="auto"/>
      </w:divBdr>
    </w:div>
    <w:div w:id="770860884">
      <w:bodyDiv w:val="1"/>
      <w:marLeft w:val="0"/>
      <w:marRight w:val="0"/>
      <w:marTop w:val="0"/>
      <w:marBottom w:val="0"/>
      <w:divBdr>
        <w:top w:val="none" w:sz="0" w:space="0" w:color="auto"/>
        <w:left w:val="none" w:sz="0" w:space="0" w:color="auto"/>
        <w:bottom w:val="none" w:sz="0" w:space="0" w:color="auto"/>
        <w:right w:val="none" w:sz="0" w:space="0" w:color="auto"/>
      </w:divBdr>
    </w:div>
    <w:div w:id="775946965">
      <w:bodyDiv w:val="1"/>
      <w:marLeft w:val="0"/>
      <w:marRight w:val="0"/>
      <w:marTop w:val="0"/>
      <w:marBottom w:val="0"/>
      <w:divBdr>
        <w:top w:val="none" w:sz="0" w:space="0" w:color="auto"/>
        <w:left w:val="none" w:sz="0" w:space="0" w:color="auto"/>
        <w:bottom w:val="none" w:sz="0" w:space="0" w:color="auto"/>
        <w:right w:val="none" w:sz="0" w:space="0" w:color="auto"/>
      </w:divBdr>
    </w:div>
    <w:div w:id="791703506">
      <w:bodyDiv w:val="1"/>
      <w:marLeft w:val="0"/>
      <w:marRight w:val="0"/>
      <w:marTop w:val="0"/>
      <w:marBottom w:val="0"/>
      <w:divBdr>
        <w:top w:val="none" w:sz="0" w:space="0" w:color="auto"/>
        <w:left w:val="none" w:sz="0" w:space="0" w:color="auto"/>
        <w:bottom w:val="none" w:sz="0" w:space="0" w:color="auto"/>
        <w:right w:val="none" w:sz="0" w:space="0" w:color="auto"/>
      </w:divBdr>
    </w:div>
    <w:div w:id="794254356">
      <w:bodyDiv w:val="1"/>
      <w:marLeft w:val="0"/>
      <w:marRight w:val="0"/>
      <w:marTop w:val="0"/>
      <w:marBottom w:val="0"/>
      <w:divBdr>
        <w:top w:val="none" w:sz="0" w:space="0" w:color="auto"/>
        <w:left w:val="none" w:sz="0" w:space="0" w:color="auto"/>
        <w:bottom w:val="none" w:sz="0" w:space="0" w:color="auto"/>
        <w:right w:val="none" w:sz="0" w:space="0" w:color="auto"/>
      </w:divBdr>
    </w:div>
    <w:div w:id="795563033">
      <w:bodyDiv w:val="1"/>
      <w:marLeft w:val="0"/>
      <w:marRight w:val="0"/>
      <w:marTop w:val="0"/>
      <w:marBottom w:val="0"/>
      <w:divBdr>
        <w:top w:val="none" w:sz="0" w:space="0" w:color="auto"/>
        <w:left w:val="none" w:sz="0" w:space="0" w:color="auto"/>
        <w:bottom w:val="none" w:sz="0" w:space="0" w:color="auto"/>
        <w:right w:val="none" w:sz="0" w:space="0" w:color="auto"/>
      </w:divBdr>
    </w:div>
    <w:div w:id="821628679">
      <w:bodyDiv w:val="1"/>
      <w:marLeft w:val="0"/>
      <w:marRight w:val="0"/>
      <w:marTop w:val="0"/>
      <w:marBottom w:val="0"/>
      <w:divBdr>
        <w:top w:val="none" w:sz="0" w:space="0" w:color="auto"/>
        <w:left w:val="none" w:sz="0" w:space="0" w:color="auto"/>
        <w:bottom w:val="none" w:sz="0" w:space="0" w:color="auto"/>
        <w:right w:val="none" w:sz="0" w:space="0" w:color="auto"/>
      </w:divBdr>
    </w:div>
    <w:div w:id="840585756">
      <w:bodyDiv w:val="1"/>
      <w:marLeft w:val="0"/>
      <w:marRight w:val="0"/>
      <w:marTop w:val="0"/>
      <w:marBottom w:val="0"/>
      <w:divBdr>
        <w:top w:val="none" w:sz="0" w:space="0" w:color="auto"/>
        <w:left w:val="none" w:sz="0" w:space="0" w:color="auto"/>
        <w:bottom w:val="none" w:sz="0" w:space="0" w:color="auto"/>
        <w:right w:val="none" w:sz="0" w:space="0" w:color="auto"/>
      </w:divBdr>
    </w:div>
    <w:div w:id="868564953">
      <w:bodyDiv w:val="1"/>
      <w:marLeft w:val="0"/>
      <w:marRight w:val="0"/>
      <w:marTop w:val="0"/>
      <w:marBottom w:val="0"/>
      <w:divBdr>
        <w:top w:val="none" w:sz="0" w:space="0" w:color="auto"/>
        <w:left w:val="none" w:sz="0" w:space="0" w:color="auto"/>
        <w:bottom w:val="none" w:sz="0" w:space="0" w:color="auto"/>
        <w:right w:val="none" w:sz="0" w:space="0" w:color="auto"/>
      </w:divBdr>
    </w:div>
    <w:div w:id="881750892">
      <w:bodyDiv w:val="1"/>
      <w:marLeft w:val="0"/>
      <w:marRight w:val="0"/>
      <w:marTop w:val="0"/>
      <w:marBottom w:val="0"/>
      <w:divBdr>
        <w:top w:val="none" w:sz="0" w:space="0" w:color="auto"/>
        <w:left w:val="none" w:sz="0" w:space="0" w:color="auto"/>
        <w:bottom w:val="none" w:sz="0" w:space="0" w:color="auto"/>
        <w:right w:val="none" w:sz="0" w:space="0" w:color="auto"/>
      </w:divBdr>
    </w:div>
    <w:div w:id="925772446">
      <w:bodyDiv w:val="1"/>
      <w:marLeft w:val="0"/>
      <w:marRight w:val="0"/>
      <w:marTop w:val="0"/>
      <w:marBottom w:val="0"/>
      <w:divBdr>
        <w:top w:val="none" w:sz="0" w:space="0" w:color="auto"/>
        <w:left w:val="none" w:sz="0" w:space="0" w:color="auto"/>
        <w:bottom w:val="none" w:sz="0" w:space="0" w:color="auto"/>
        <w:right w:val="none" w:sz="0" w:space="0" w:color="auto"/>
      </w:divBdr>
    </w:div>
    <w:div w:id="953900084">
      <w:bodyDiv w:val="1"/>
      <w:marLeft w:val="0"/>
      <w:marRight w:val="0"/>
      <w:marTop w:val="0"/>
      <w:marBottom w:val="0"/>
      <w:divBdr>
        <w:top w:val="none" w:sz="0" w:space="0" w:color="auto"/>
        <w:left w:val="none" w:sz="0" w:space="0" w:color="auto"/>
        <w:bottom w:val="none" w:sz="0" w:space="0" w:color="auto"/>
        <w:right w:val="none" w:sz="0" w:space="0" w:color="auto"/>
      </w:divBdr>
    </w:div>
    <w:div w:id="954990633">
      <w:bodyDiv w:val="1"/>
      <w:marLeft w:val="0"/>
      <w:marRight w:val="0"/>
      <w:marTop w:val="0"/>
      <w:marBottom w:val="0"/>
      <w:divBdr>
        <w:top w:val="none" w:sz="0" w:space="0" w:color="auto"/>
        <w:left w:val="none" w:sz="0" w:space="0" w:color="auto"/>
        <w:bottom w:val="none" w:sz="0" w:space="0" w:color="auto"/>
        <w:right w:val="none" w:sz="0" w:space="0" w:color="auto"/>
      </w:divBdr>
    </w:div>
    <w:div w:id="971443952">
      <w:bodyDiv w:val="1"/>
      <w:marLeft w:val="0"/>
      <w:marRight w:val="0"/>
      <w:marTop w:val="0"/>
      <w:marBottom w:val="0"/>
      <w:divBdr>
        <w:top w:val="none" w:sz="0" w:space="0" w:color="auto"/>
        <w:left w:val="none" w:sz="0" w:space="0" w:color="auto"/>
        <w:bottom w:val="none" w:sz="0" w:space="0" w:color="auto"/>
        <w:right w:val="none" w:sz="0" w:space="0" w:color="auto"/>
      </w:divBdr>
    </w:div>
    <w:div w:id="1002196358">
      <w:bodyDiv w:val="1"/>
      <w:marLeft w:val="0"/>
      <w:marRight w:val="0"/>
      <w:marTop w:val="0"/>
      <w:marBottom w:val="0"/>
      <w:divBdr>
        <w:top w:val="none" w:sz="0" w:space="0" w:color="auto"/>
        <w:left w:val="none" w:sz="0" w:space="0" w:color="auto"/>
        <w:bottom w:val="none" w:sz="0" w:space="0" w:color="auto"/>
        <w:right w:val="none" w:sz="0" w:space="0" w:color="auto"/>
      </w:divBdr>
    </w:div>
    <w:div w:id="1003824797">
      <w:bodyDiv w:val="1"/>
      <w:marLeft w:val="0"/>
      <w:marRight w:val="0"/>
      <w:marTop w:val="0"/>
      <w:marBottom w:val="0"/>
      <w:divBdr>
        <w:top w:val="none" w:sz="0" w:space="0" w:color="auto"/>
        <w:left w:val="none" w:sz="0" w:space="0" w:color="auto"/>
        <w:bottom w:val="none" w:sz="0" w:space="0" w:color="auto"/>
        <w:right w:val="none" w:sz="0" w:space="0" w:color="auto"/>
      </w:divBdr>
    </w:div>
    <w:div w:id="1011226535">
      <w:bodyDiv w:val="1"/>
      <w:marLeft w:val="0"/>
      <w:marRight w:val="0"/>
      <w:marTop w:val="0"/>
      <w:marBottom w:val="0"/>
      <w:divBdr>
        <w:top w:val="none" w:sz="0" w:space="0" w:color="auto"/>
        <w:left w:val="none" w:sz="0" w:space="0" w:color="auto"/>
        <w:bottom w:val="none" w:sz="0" w:space="0" w:color="auto"/>
        <w:right w:val="none" w:sz="0" w:space="0" w:color="auto"/>
      </w:divBdr>
    </w:div>
    <w:div w:id="1012144284">
      <w:bodyDiv w:val="1"/>
      <w:marLeft w:val="0"/>
      <w:marRight w:val="0"/>
      <w:marTop w:val="0"/>
      <w:marBottom w:val="0"/>
      <w:divBdr>
        <w:top w:val="none" w:sz="0" w:space="0" w:color="auto"/>
        <w:left w:val="none" w:sz="0" w:space="0" w:color="auto"/>
        <w:bottom w:val="none" w:sz="0" w:space="0" w:color="auto"/>
        <w:right w:val="none" w:sz="0" w:space="0" w:color="auto"/>
      </w:divBdr>
    </w:div>
    <w:div w:id="1041054393">
      <w:bodyDiv w:val="1"/>
      <w:marLeft w:val="0"/>
      <w:marRight w:val="0"/>
      <w:marTop w:val="0"/>
      <w:marBottom w:val="0"/>
      <w:divBdr>
        <w:top w:val="none" w:sz="0" w:space="0" w:color="auto"/>
        <w:left w:val="none" w:sz="0" w:space="0" w:color="auto"/>
        <w:bottom w:val="none" w:sz="0" w:space="0" w:color="auto"/>
        <w:right w:val="none" w:sz="0" w:space="0" w:color="auto"/>
      </w:divBdr>
    </w:div>
    <w:div w:id="1047297084">
      <w:bodyDiv w:val="1"/>
      <w:marLeft w:val="0"/>
      <w:marRight w:val="0"/>
      <w:marTop w:val="0"/>
      <w:marBottom w:val="0"/>
      <w:divBdr>
        <w:top w:val="none" w:sz="0" w:space="0" w:color="auto"/>
        <w:left w:val="none" w:sz="0" w:space="0" w:color="auto"/>
        <w:bottom w:val="none" w:sz="0" w:space="0" w:color="auto"/>
        <w:right w:val="none" w:sz="0" w:space="0" w:color="auto"/>
      </w:divBdr>
    </w:div>
    <w:div w:id="1048648785">
      <w:bodyDiv w:val="1"/>
      <w:marLeft w:val="0"/>
      <w:marRight w:val="0"/>
      <w:marTop w:val="0"/>
      <w:marBottom w:val="0"/>
      <w:divBdr>
        <w:top w:val="none" w:sz="0" w:space="0" w:color="auto"/>
        <w:left w:val="none" w:sz="0" w:space="0" w:color="auto"/>
        <w:bottom w:val="none" w:sz="0" w:space="0" w:color="auto"/>
        <w:right w:val="none" w:sz="0" w:space="0" w:color="auto"/>
      </w:divBdr>
    </w:div>
    <w:div w:id="1084381120">
      <w:bodyDiv w:val="1"/>
      <w:marLeft w:val="0"/>
      <w:marRight w:val="0"/>
      <w:marTop w:val="0"/>
      <w:marBottom w:val="0"/>
      <w:divBdr>
        <w:top w:val="none" w:sz="0" w:space="0" w:color="auto"/>
        <w:left w:val="none" w:sz="0" w:space="0" w:color="auto"/>
        <w:bottom w:val="none" w:sz="0" w:space="0" w:color="auto"/>
        <w:right w:val="none" w:sz="0" w:space="0" w:color="auto"/>
      </w:divBdr>
    </w:div>
    <w:div w:id="1104378573">
      <w:bodyDiv w:val="1"/>
      <w:marLeft w:val="0"/>
      <w:marRight w:val="0"/>
      <w:marTop w:val="0"/>
      <w:marBottom w:val="0"/>
      <w:divBdr>
        <w:top w:val="none" w:sz="0" w:space="0" w:color="auto"/>
        <w:left w:val="none" w:sz="0" w:space="0" w:color="auto"/>
        <w:bottom w:val="none" w:sz="0" w:space="0" w:color="auto"/>
        <w:right w:val="none" w:sz="0" w:space="0" w:color="auto"/>
      </w:divBdr>
    </w:div>
    <w:div w:id="1247038713">
      <w:bodyDiv w:val="1"/>
      <w:marLeft w:val="0"/>
      <w:marRight w:val="0"/>
      <w:marTop w:val="0"/>
      <w:marBottom w:val="0"/>
      <w:divBdr>
        <w:top w:val="none" w:sz="0" w:space="0" w:color="auto"/>
        <w:left w:val="none" w:sz="0" w:space="0" w:color="auto"/>
        <w:bottom w:val="none" w:sz="0" w:space="0" w:color="auto"/>
        <w:right w:val="none" w:sz="0" w:space="0" w:color="auto"/>
      </w:divBdr>
    </w:div>
    <w:div w:id="1253933009">
      <w:bodyDiv w:val="1"/>
      <w:marLeft w:val="0"/>
      <w:marRight w:val="0"/>
      <w:marTop w:val="0"/>
      <w:marBottom w:val="0"/>
      <w:divBdr>
        <w:top w:val="none" w:sz="0" w:space="0" w:color="auto"/>
        <w:left w:val="none" w:sz="0" w:space="0" w:color="auto"/>
        <w:bottom w:val="none" w:sz="0" w:space="0" w:color="auto"/>
        <w:right w:val="none" w:sz="0" w:space="0" w:color="auto"/>
      </w:divBdr>
    </w:div>
    <w:div w:id="1266579623">
      <w:bodyDiv w:val="1"/>
      <w:marLeft w:val="0"/>
      <w:marRight w:val="0"/>
      <w:marTop w:val="0"/>
      <w:marBottom w:val="0"/>
      <w:divBdr>
        <w:top w:val="none" w:sz="0" w:space="0" w:color="auto"/>
        <w:left w:val="none" w:sz="0" w:space="0" w:color="auto"/>
        <w:bottom w:val="none" w:sz="0" w:space="0" w:color="auto"/>
        <w:right w:val="none" w:sz="0" w:space="0" w:color="auto"/>
      </w:divBdr>
    </w:div>
    <w:div w:id="1281109577">
      <w:bodyDiv w:val="1"/>
      <w:marLeft w:val="0"/>
      <w:marRight w:val="0"/>
      <w:marTop w:val="0"/>
      <w:marBottom w:val="0"/>
      <w:divBdr>
        <w:top w:val="none" w:sz="0" w:space="0" w:color="auto"/>
        <w:left w:val="none" w:sz="0" w:space="0" w:color="auto"/>
        <w:bottom w:val="none" w:sz="0" w:space="0" w:color="auto"/>
        <w:right w:val="none" w:sz="0" w:space="0" w:color="auto"/>
      </w:divBdr>
    </w:div>
    <w:div w:id="1352337053">
      <w:bodyDiv w:val="1"/>
      <w:marLeft w:val="0"/>
      <w:marRight w:val="0"/>
      <w:marTop w:val="0"/>
      <w:marBottom w:val="0"/>
      <w:divBdr>
        <w:top w:val="none" w:sz="0" w:space="0" w:color="auto"/>
        <w:left w:val="none" w:sz="0" w:space="0" w:color="auto"/>
        <w:bottom w:val="none" w:sz="0" w:space="0" w:color="auto"/>
        <w:right w:val="none" w:sz="0" w:space="0" w:color="auto"/>
      </w:divBdr>
    </w:div>
    <w:div w:id="1360861344">
      <w:bodyDiv w:val="1"/>
      <w:marLeft w:val="0"/>
      <w:marRight w:val="0"/>
      <w:marTop w:val="0"/>
      <w:marBottom w:val="0"/>
      <w:divBdr>
        <w:top w:val="none" w:sz="0" w:space="0" w:color="auto"/>
        <w:left w:val="none" w:sz="0" w:space="0" w:color="auto"/>
        <w:bottom w:val="none" w:sz="0" w:space="0" w:color="auto"/>
        <w:right w:val="none" w:sz="0" w:space="0" w:color="auto"/>
      </w:divBdr>
    </w:div>
    <w:div w:id="1416170274">
      <w:bodyDiv w:val="1"/>
      <w:marLeft w:val="0"/>
      <w:marRight w:val="0"/>
      <w:marTop w:val="0"/>
      <w:marBottom w:val="0"/>
      <w:divBdr>
        <w:top w:val="none" w:sz="0" w:space="0" w:color="auto"/>
        <w:left w:val="none" w:sz="0" w:space="0" w:color="auto"/>
        <w:bottom w:val="none" w:sz="0" w:space="0" w:color="auto"/>
        <w:right w:val="none" w:sz="0" w:space="0" w:color="auto"/>
      </w:divBdr>
    </w:div>
    <w:div w:id="1459185702">
      <w:bodyDiv w:val="1"/>
      <w:marLeft w:val="0"/>
      <w:marRight w:val="0"/>
      <w:marTop w:val="0"/>
      <w:marBottom w:val="0"/>
      <w:divBdr>
        <w:top w:val="none" w:sz="0" w:space="0" w:color="auto"/>
        <w:left w:val="none" w:sz="0" w:space="0" w:color="auto"/>
        <w:bottom w:val="none" w:sz="0" w:space="0" w:color="auto"/>
        <w:right w:val="none" w:sz="0" w:space="0" w:color="auto"/>
      </w:divBdr>
    </w:div>
    <w:div w:id="1474106078">
      <w:bodyDiv w:val="1"/>
      <w:marLeft w:val="0"/>
      <w:marRight w:val="0"/>
      <w:marTop w:val="0"/>
      <w:marBottom w:val="0"/>
      <w:divBdr>
        <w:top w:val="none" w:sz="0" w:space="0" w:color="auto"/>
        <w:left w:val="none" w:sz="0" w:space="0" w:color="auto"/>
        <w:bottom w:val="none" w:sz="0" w:space="0" w:color="auto"/>
        <w:right w:val="none" w:sz="0" w:space="0" w:color="auto"/>
      </w:divBdr>
    </w:div>
    <w:div w:id="1560172555">
      <w:bodyDiv w:val="1"/>
      <w:marLeft w:val="0"/>
      <w:marRight w:val="0"/>
      <w:marTop w:val="0"/>
      <w:marBottom w:val="0"/>
      <w:divBdr>
        <w:top w:val="none" w:sz="0" w:space="0" w:color="auto"/>
        <w:left w:val="none" w:sz="0" w:space="0" w:color="auto"/>
        <w:bottom w:val="none" w:sz="0" w:space="0" w:color="auto"/>
        <w:right w:val="none" w:sz="0" w:space="0" w:color="auto"/>
      </w:divBdr>
    </w:div>
    <w:div w:id="1586378406">
      <w:bodyDiv w:val="1"/>
      <w:marLeft w:val="0"/>
      <w:marRight w:val="0"/>
      <w:marTop w:val="0"/>
      <w:marBottom w:val="0"/>
      <w:divBdr>
        <w:top w:val="none" w:sz="0" w:space="0" w:color="auto"/>
        <w:left w:val="none" w:sz="0" w:space="0" w:color="auto"/>
        <w:bottom w:val="none" w:sz="0" w:space="0" w:color="auto"/>
        <w:right w:val="none" w:sz="0" w:space="0" w:color="auto"/>
      </w:divBdr>
    </w:div>
    <w:div w:id="1591888505">
      <w:bodyDiv w:val="1"/>
      <w:marLeft w:val="0"/>
      <w:marRight w:val="0"/>
      <w:marTop w:val="0"/>
      <w:marBottom w:val="0"/>
      <w:divBdr>
        <w:top w:val="none" w:sz="0" w:space="0" w:color="auto"/>
        <w:left w:val="none" w:sz="0" w:space="0" w:color="auto"/>
        <w:bottom w:val="none" w:sz="0" w:space="0" w:color="auto"/>
        <w:right w:val="none" w:sz="0" w:space="0" w:color="auto"/>
      </w:divBdr>
    </w:div>
    <w:div w:id="1593508718">
      <w:bodyDiv w:val="1"/>
      <w:marLeft w:val="0"/>
      <w:marRight w:val="0"/>
      <w:marTop w:val="0"/>
      <w:marBottom w:val="0"/>
      <w:divBdr>
        <w:top w:val="none" w:sz="0" w:space="0" w:color="auto"/>
        <w:left w:val="none" w:sz="0" w:space="0" w:color="auto"/>
        <w:bottom w:val="none" w:sz="0" w:space="0" w:color="auto"/>
        <w:right w:val="none" w:sz="0" w:space="0" w:color="auto"/>
      </w:divBdr>
    </w:div>
    <w:div w:id="1619411100">
      <w:bodyDiv w:val="1"/>
      <w:marLeft w:val="0"/>
      <w:marRight w:val="0"/>
      <w:marTop w:val="0"/>
      <w:marBottom w:val="0"/>
      <w:divBdr>
        <w:top w:val="none" w:sz="0" w:space="0" w:color="auto"/>
        <w:left w:val="none" w:sz="0" w:space="0" w:color="auto"/>
        <w:bottom w:val="none" w:sz="0" w:space="0" w:color="auto"/>
        <w:right w:val="none" w:sz="0" w:space="0" w:color="auto"/>
      </w:divBdr>
    </w:div>
    <w:div w:id="1711025837">
      <w:bodyDiv w:val="1"/>
      <w:marLeft w:val="0"/>
      <w:marRight w:val="0"/>
      <w:marTop w:val="0"/>
      <w:marBottom w:val="0"/>
      <w:divBdr>
        <w:top w:val="none" w:sz="0" w:space="0" w:color="auto"/>
        <w:left w:val="none" w:sz="0" w:space="0" w:color="auto"/>
        <w:bottom w:val="none" w:sz="0" w:space="0" w:color="auto"/>
        <w:right w:val="none" w:sz="0" w:space="0" w:color="auto"/>
      </w:divBdr>
    </w:div>
    <w:div w:id="1753503309">
      <w:bodyDiv w:val="1"/>
      <w:marLeft w:val="0"/>
      <w:marRight w:val="0"/>
      <w:marTop w:val="0"/>
      <w:marBottom w:val="0"/>
      <w:divBdr>
        <w:top w:val="none" w:sz="0" w:space="0" w:color="auto"/>
        <w:left w:val="none" w:sz="0" w:space="0" w:color="auto"/>
        <w:bottom w:val="none" w:sz="0" w:space="0" w:color="auto"/>
        <w:right w:val="none" w:sz="0" w:space="0" w:color="auto"/>
      </w:divBdr>
    </w:div>
    <w:div w:id="1845507786">
      <w:bodyDiv w:val="1"/>
      <w:marLeft w:val="0"/>
      <w:marRight w:val="0"/>
      <w:marTop w:val="0"/>
      <w:marBottom w:val="0"/>
      <w:divBdr>
        <w:top w:val="none" w:sz="0" w:space="0" w:color="auto"/>
        <w:left w:val="none" w:sz="0" w:space="0" w:color="auto"/>
        <w:bottom w:val="none" w:sz="0" w:space="0" w:color="auto"/>
        <w:right w:val="none" w:sz="0" w:space="0" w:color="auto"/>
      </w:divBdr>
    </w:div>
    <w:div w:id="1880894117">
      <w:bodyDiv w:val="1"/>
      <w:marLeft w:val="0"/>
      <w:marRight w:val="0"/>
      <w:marTop w:val="0"/>
      <w:marBottom w:val="0"/>
      <w:divBdr>
        <w:top w:val="none" w:sz="0" w:space="0" w:color="auto"/>
        <w:left w:val="none" w:sz="0" w:space="0" w:color="auto"/>
        <w:bottom w:val="none" w:sz="0" w:space="0" w:color="auto"/>
        <w:right w:val="none" w:sz="0" w:space="0" w:color="auto"/>
      </w:divBdr>
    </w:div>
    <w:div w:id="1882203624">
      <w:bodyDiv w:val="1"/>
      <w:marLeft w:val="0"/>
      <w:marRight w:val="0"/>
      <w:marTop w:val="0"/>
      <w:marBottom w:val="0"/>
      <w:divBdr>
        <w:top w:val="none" w:sz="0" w:space="0" w:color="auto"/>
        <w:left w:val="none" w:sz="0" w:space="0" w:color="auto"/>
        <w:bottom w:val="none" w:sz="0" w:space="0" w:color="auto"/>
        <w:right w:val="none" w:sz="0" w:space="0" w:color="auto"/>
      </w:divBdr>
    </w:div>
    <w:div w:id="1946889326">
      <w:bodyDiv w:val="1"/>
      <w:marLeft w:val="0"/>
      <w:marRight w:val="0"/>
      <w:marTop w:val="0"/>
      <w:marBottom w:val="0"/>
      <w:divBdr>
        <w:top w:val="none" w:sz="0" w:space="0" w:color="auto"/>
        <w:left w:val="none" w:sz="0" w:space="0" w:color="auto"/>
        <w:bottom w:val="none" w:sz="0" w:space="0" w:color="auto"/>
        <w:right w:val="none" w:sz="0" w:space="0" w:color="auto"/>
      </w:divBdr>
    </w:div>
    <w:div w:id="1986814617">
      <w:bodyDiv w:val="1"/>
      <w:marLeft w:val="0"/>
      <w:marRight w:val="0"/>
      <w:marTop w:val="0"/>
      <w:marBottom w:val="0"/>
      <w:divBdr>
        <w:top w:val="none" w:sz="0" w:space="0" w:color="auto"/>
        <w:left w:val="none" w:sz="0" w:space="0" w:color="auto"/>
        <w:bottom w:val="none" w:sz="0" w:space="0" w:color="auto"/>
        <w:right w:val="none" w:sz="0" w:space="0" w:color="auto"/>
      </w:divBdr>
    </w:div>
    <w:div w:id="2082172807">
      <w:bodyDiv w:val="1"/>
      <w:marLeft w:val="0"/>
      <w:marRight w:val="0"/>
      <w:marTop w:val="0"/>
      <w:marBottom w:val="0"/>
      <w:divBdr>
        <w:top w:val="none" w:sz="0" w:space="0" w:color="auto"/>
        <w:left w:val="none" w:sz="0" w:space="0" w:color="auto"/>
        <w:bottom w:val="none" w:sz="0" w:space="0" w:color="auto"/>
        <w:right w:val="none" w:sz="0" w:space="0" w:color="auto"/>
      </w:divBdr>
    </w:div>
    <w:div w:id="2102991401">
      <w:bodyDiv w:val="1"/>
      <w:marLeft w:val="0"/>
      <w:marRight w:val="0"/>
      <w:marTop w:val="0"/>
      <w:marBottom w:val="0"/>
      <w:divBdr>
        <w:top w:val="none" w:sz="0" w:space="0" w:color="auto"/>
        <w:left w:val="none" w:sz="0" w:space="0" w:color="auto"/>
        <w:bottom w:val="none" w:sz="0" w:space="0" w:color="auto"/>
        <w:right w:val="none" w:sz="0" w:space="0" w:color="auto"/>
      </w:divBdr>
    </w:div>
    <w:div w:id="2128111085">
      <w:bodyDiv w:val="1"/>
      <w:marLeft w:val="0"/>
      <w:marRight w:val="0"/>
      <w:marTop w:val="0"/>
      <w:marBottom w:val="0"/>
      <w:divBdr>
        <w:top w:val="none" w:sz="0" w:space="0" w:color="auto"/>
        <w:left w:val="none" w:sz="0" w:space="0" w:color="auto"/>
        <w:bottom w:val="none" w:sz="0" w:space="0" w:color="auto"/>
        <w:right w:val="none" w:sz="0" w:space="0" w:color="auto"/>
      </w:divBdr>
    </w:div>
    <w:div w:id="2131238110">
      <w:bodyDiv w:val="1"/>
      <w:marLeft w:val="0"/>
      <w:marRight w:val="0"/>
      <w:marTop w:val="0"/>
      <w:marBottom w:val="0"/>
      <w:divBdr>
        <w:top w:val="none" w:sz="0" w:space="0" w:color="auto"/>
        <w:left w:val="none" w:sz="0" w:space="0" w:color="auto"/>
        <w:bottom w:val="none" w:sz="0" w:space="0" w:color="auto"/>
        <w:right w:val="none" w:sz="0" w:space="0" w:color="auto"/>
      </w:divBdr>
    </w:div>
    <w:div w:id="21460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hse.gov.uk/construction/lwit/assets/downloads/hierarchy-risk-controls.pdf" TargetMode="External"/><Relationship Id="rId2" Type="http://schemas.openxmlformats.org/officeDocument/2006/relationships/numbering" Target="numbering.xml"/><Relationship Id="rId16" Type="http://schemas.openxmlformats.org/officeDocument/2006/relationships/hyperlink" Target="https://www.ukradon.org/information/ukma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njaynes\AppData\Local\Microsoft\Windows\INetCache\Content.Outlook\3HB16MKC\Radon%20in%20the%20workplac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onr.org.uk/transport/five-steps-transport-emergency-planning.pdf" TargetMode="External"/><Relationship Id="rId2" Type="http://schemas.openxmlformats.org/officeDocument/2006/relationships/hyperlink" Target="http://www.onr.org.uk/transport/emergency-planning-notification-class-7.pdf" TargetMode="External"/><Relationship Id="rId1" Type="http://schemas.openxmlformats.org/officeDocument/2006/relationships/hyperlink" Target="https://www-pub.iaea.org/MTCD/Publications/PDF/PUB1798_web.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HSreg98</b:Tag>
    <b:SourceType>Misc</b:SourceType>
    <b:Guid>{77636693-3805-49F7-A916-5D72F2B3426B}</b:Guid>
    <b:Title>The Health and Safety (Enforcing Authority) Regulations 1998</b:Title>
    <b:Year>1998</b:Year>
    <b:Month>April</b:Month>
    <b:Publisher>UK Government</b:Publisher>
    <b:StandardNumber>No. 494</b:StandardNumber>
    <b:URL>legislation.gov.uk</b:URL>
    <b:RefOrder>4</b:RefOrder>
  </b:Source>
  <b:Source>
    <b:Tag>Tra16</b:Tag>
    <b:SourceType>Misc</b:SourceType>
    <b:Guid>{14B725B2-F3E2-4084-A350-9DFABF3F42A5}</b:Guid>
    <b:Title>Transporting radioactive material - Guidance on radiation and contamination monitoring requirements, and determining a Transport index</b:Title>
    <b:Year>2016</b:Year>
    <b:Month>November</b:Month>
    <b:Publisher>ONR</b:Publisher>
    <b:URL>https://www.onr.org.uk/transport/transport-guidance-monitoring-ti.pdf</b:URL>
    <b:RefOrder>5</b:RefOrder>
  </b:Source>
  <b:Source>
    <b:Tag>MemHSEONR</b:Tag>
    <b:SourceType>Misc</b:SourceType>
    <b:Guid>{B244D7BF-CCEF-4652-82F4-571371BC5F90}</b:Guid>
    <b:Title>Memorandum of Understanding between ONR and HSE on the effective regulation of the IRR17 in relation to the transport of radioactive material</b:Title>
    <b:Year>2021</b:Year>
    <b:Month>February</b:Month>
    <b:Publisher>ONR</b:Publisher>
    <b:Issue>Issue 1</b:Issue>
    <b:URL>https://www.onr.org.uk/documents/2021/mou-onr-hse-irr17.pdf</b:URL>
    <b:RefOrder>3</b:RefOrder>
  </b:Source>
  <b:Source>
    <b:Tag>L121</b:Tag>
    <b:SourceType>Misc</b:SourceType>
    <b:Guid>{7C855D76-F12A-4E08-B046-B3A942E947E7}</b:Guid>
    <b:Title>Work with ionising radiation, Ionising Radiations Regulations 2017, Approved Code of Pratice and Guidance</b:Title>
    <b:Year>2018</b:Year>
    <b:Publisher>Health and Safety Executive</b:Publisher>
    <b:Issue>L121 (Second edition)</b:Issue>
    <b:StandardNumber>ISBN 978 07176 6662 1</b:StandardNumber>
    <b:URL>https://www.hse.gov.uk/pubns/priced/l121.pdf</b:URL>
    <b:RefOrder>1</b:RefOrder>
  </b:Source>
  <b:Source>
    <b:Tag>CDG09</b:Tag>
    <b:SourceType>Misc</b:SourceType>
    <b:Guid>{2B5A206C-CA1E-4DF9-981B-BE9DEDE01EE4}</b:Guid>
    <b:Title>The Carriage of Dangerous Goods and Use of Transportable Pressure Equipment Regulations 2009 </b:Title>
    <b:Year>2009</b:Year>
    <b:Publisher>UK Government</b:Publisher>
    <b:StandardNumber>2009 No.1348</b:StandardNumber>
    <b:URL>https://www.legislation.gov.uk/uksi/2009/1348/contents/made </b:URL>
    <b:RefOrder>2</b:RefOrder>
  </b:Source>
</b:Sources>
</file>

<file path=customXml/itemProps1.xml><?xml version="1.0" encoding="utf-8"?>
<ds:datastoreItem xmlns:ds="http://schemas.openxmlformats.org/officeDocument/2006/customXml" ds:itemID="{6D177464-83AA-4356-AC28-A02A5318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4006</Words>
  <Characters>22838</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26791</CharactersWithSpaces>
  <SharedDoc>false</SharedDoc>
  <HLinks>
    <vt:vector size="48" baseType="variant">
      <vt:variant>
        <vt:i4>1441853</vt:i4>
      </vt:variant>
      <vt:variant>
        <vt:i4>32</vt:i4>
      </vt:variant>
      <vt:variant>
        <vt:i4>0</vt:i4>
      </vt:variant>
      <vt:variant>
        <vt:i4>5</vt:i4>
      </vt:variant>
      <vt:variant>
        <vt:lpwstr/>
      </vt:variant>
      <vt:variant>
        <vt:lpwstr>_Toc46835044</vt:lpwstr>
      </vt:variant>
      <vt:variant>
        <vt:i4>1114173</vt:i4>
      </vt:variant>
      <vt:variant>
        <vt:i4>26</vt:i4>
      </vt:variant>
      <vt:variant>
        <vt:i4>0</vt:i4>
      </vt:variant>
      <vt:variant>
        <vt:i4>5</vt:i4>
      </vt:variant>
      <vt:variant>
        <vt:lpwstr/>
      </vt:variant>
      <vt:variant>
        <vt:lpwstr>_Toc46835043</vt:lpwstr>
      </vt:variant>
      <vt:variant>
        <vt:i4>1048637</vt:i4>
      </vt:variant>
      <vt:variant>
        <vt:i4>20</vt:i4>
      </vt:variant>
      <vt:variant>
        <vt:i4>0</vt:i4>
      </vt:variant>
      <vt:variant>
        <vt:i4>5</vt:i4>
      </vt:variant>
      <vt:variant>
        <vt:lpwstr/>
      </vt:variant>
      <vt:variant>
        <vt:lpwstr>_Toc46835042</vt:lpwstr>
      </vt:variant>
      <vt:variant>
        <vt:i4>1245245</vt:i4>
      </vt:variant>
      <vt:variant>
        <vt:i4>14</vt:i4>
      </vt:variant>
      <vt:variant>
        <vt:i4>0</vt:i4>
      </vt:variant>
      <vt:variant>
        <vt:i4>5</vt:i4>
      </vt:variant>
      <vt:variant>
        <vt:lpwstr/>
      </vt:variant>
      <vt:variant>
        <vt:lpwstr>_Toc46835041</vt:lpwstr>
      </vt:variant>
      <vt:variant>
        <vt:i4>1179709</vt:i4>
      </vt:variant>
      <vt:variant>
        <vt:i4>8</vt:i4>
      </vt:variant>
      <vt:variant>
        <vt:i4>0</vt:i4>
      </vt:variant>
      <vt:variant>
        <vt:i4>5</vt:i4>
      </vt:variant>
      <vt:variant>
        <vt:lpwstr/>
      </vt:variant>
      <vt:variant>
        <vt:lpwstr>_Toc46835040</vt:lpwstr>
      </vt:variant>
      <vt:variant>
        <vt:i4>1769530</vt:i4>
      </vt:variant>
      <vt:variant>
        <vt:i4>2</vt:i4>
      </vt:variant>
      <vt:variant>
        <vt:i4>0</vt:i4>
      </vt:variant>
      <vt:variant>
        <vt:i4>5</vt:i4>
      </vt:variant>
      <vt:variant>
        <vt:lpwstr/>
      </vt:variant>
      <vt:variant>
        <vt:lpwstr>_Toc46835039</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dcterms:created xsi:type="dcterms:W3CDTF">2022-12-22T07:44:00Z</dcterms:created>
  <dcterms:modified xsi:type="dcterms:W3CDTF">2022-12-22T07:44:00Z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2021-10-27T13:34:08Z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b090b4f8-bd26-40ae-9431-365907d6aa3d</vt:lpwstr>
  </property>
  <property fmtid="{D5CDD505-2E9C-101B-9397-08002B2CF9AE}" pid="8" name="MSIP_Label_9e5e003a-90eb-47c9-a506-ad47e7a0b281_ContentBits">
    <vt:lpwstr>0</vt:lpwstr>
  </property>
</Properties>
</file>