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48"/>
        <w:gridCol w:w="4949"/>
      </w:tblGrid>
      <w:tr w:rsidR="00220466" w:rsidRPr="00627D12" w14:paraId="4573E01E" w14:textId="77777777" w:rsidTr="22D1F31A">
        <w:trPr>
          <w:trHeight w:val="211"/>
        </w:trPr>
        <w:tc>
          <w:tcPr>
            <w:tcW w:w="9897" w:type="dxa"/>
            <w:gridSpan w:val="2"/>
            <w:shd w:val="clear" w:color="auto" w:fill="auto"/>
            <w:vAlign w:val="center"/>
          </w:tcPr>
          <w:p w14:paraId="4573E01D" w14:textId="2825D1DF" w:rsidR="00220466" w:rsidRPr="00627D12" w:rsidRDefault="0048438C" w:rsidP="0048438C">
            <w:pPr>
              <w:jc w:val="center"/>
              <w:rPr>
                <w:b/>
                <w:sz w:val="28"/>
                <w:szCs w:val="28"/>
              </w:rPr>
            </w:pPr>
            <w:r>
              <w:rPr>
                <w:b/>
                <w:sz w:val="28"/>
                <w:szCs w:val="28"/>
              </w:rPr>
              <w:t>GDA Regulatory Observation</w:t>
            </w:r>
          </w:p>
        </w:tc>
      </w:tr>
      <w:tr w:rsidR="00220466" w:rsidRPr="0048438C" w14:paraId="4573E020" w14:textId="77777777" w:rsidTr="22D1F31A">
        <w:trPr>
          <w:trHeight w:val="202"/>
        </w:trPr>
        <w:tc>
          <w:tcPr>
            <w:tcW w:w="9897" w:type="dxa"/>
            <w:gridSpan w:val="2"/>
            <w:shd w:val="clear" w:color="auto" w:fill="D9D9D9" w:themeFill="background1" w:themeFillShade="D9"/>
          </w:tcPr>
          <w:p w14:paraId="4573E01F" w14:textId="77777777" w:rsidR="00220466" w:rsidRPr="0048438C" w:rsidRDefault="00220466" w:rsidP="0048438C">
            <w:pPr>
              <w:spacing w:before="60" w:after="60"/>
              <w:jc w:val="center"/>
              <w:rPr>
                <w:b/>
                <w:szCs w:val="24"/>
              </w:rPr>
            </w:pPr>
            <w:r w:rsidRPr="0048438C">
              <w:rPr>
                <w:b/>
                <w:szCs w:val="24"/>
              </w:rPr>
              <w:t>REGULATOR TO COMPLETE</w:t>
            </w:r>
          </w:p>
        </w:tc>
      </w:tr>
      <w:tr w:rsidR="00220466" w:rsidRPr="0048438C" w14:paraId="4573E023" w14:textId="77777777" w:rsidTr="22D1F31A">
        <w:trPr>
          <w:trHeight w:val="202"/>
        </w:trPr>
        <w:tc>
          <w:tcPr>
            <w:tcW w:w="4948" w:type="dxa"/>
            <w:shd w:val="clear" w:color="auto" w:fill="auto"/>
          </w:tcPr>
          <w:p w14:paraId="4573E021" w14:textId="77777777" w:rsidR="00220466" w:rsidRPr="0048438C" w:rsidRDefault="00C34CBC" w:rsidP="0048438C">
            <w:pPr>
              <w:spacing w:before="60" w:after="60"/>
              <w:rPr>
                <w:b/>
                <w:szCs w:val="24"/>
              </w:rPr>
            </w:pPr>
            <w:r w:rsidRPr="0048438C">
              <w:rPr>
                <w:b/>
                <w:szCs w:val="24"/>
              </w:rPr>
              <w:t>RO</w:t>
            </w:r>
            <w:r w:rsidR="00220466" w:rsidRPr="0048438C">
              <w:rPr>
                <w:b/>
                <w:szCs w:val="24"/>
              </w:rPr>
              <w:t xml:space="preserve"> unique no.:</w:t>
            </w:r>
          </w:p>
        </w:tc>
        <w:tc>
          <w:tcPr>
            <w:tcW w:w="4949" w:type="dxa"/>
            <w:shd w:val="clear" w:color="auto" w:fill="auto"/>
          </w:tcPr>
          <w:p w14:paraId="4573E022" w14:textId="1D2299C5" w:rsidR="00220466" w:rsidRPr="0048438C" w:rsidRDefault="00684E8C" w:rsidP="0048438C">
            <w:pPr>
              <w:spacing w:before="60" w:after="60"/>
              <w:rPr>
                <w:szCs w:val="24"/>
              </w:rPr>
            </w:pPr>
            <w:r w:rsidRPr="0048438C">
              <w:rPr>
                <w:szCs w:val="24"/>
              </w:rPr>
              <w:t>RO-</w:t>
            </w:r>
            <w:r w:rsidR="0048438C">
              <w:rPr>
                <w:szCs w:val="24"/>
              </w:rPr>
              <w:t>RRSMR</w:t>
            </w:r>
            <w:r w:rsidR="002860FC" w:rsidRPr="0048438C">
              <w:rPr>
                <w:szCs w:val="24"/>
              </w:rPr>
              <w:t>-</w:t>
            </w:r>
            <w:r w:rsidR="00B13418">
              <w:rPr>
                <w:szCs w:val="24"/>
              </w:rPr>
              <w:t>002</w:t>
            </w:r>
          </w:p>
        </w:tc>
      </w:tr>
      <w:tr w:rsidR="00220466" w:rsidRPr="0048438C" w14:paraId="4573E026" w14:textId="77777777" w:rsidTr="22D1F31A">
        <w:trPr>
          <w:trHeight w:val="202"/>
        </w:trPr>
        <w:tc>
          <w:tcPr>
            <w:tcW w:w="4948" w:type="dxa"/>
            <w:shd w:val="clear" w:color="auto" w:fill="auto"/>
          </w:tcPr>
          <w:p w14:paraId="4573E024" w14:textId="61F5DE6D" w:rsidR="00220466" w:rsidRPr="0048438C" w:rsidRDefault="00850471" w:rsidP="0048438C">
            <w:pPr>
              <w:spacing w:before="60" w:after="60"/>
              <w:rPr>
                <w:b/>
                <w:szCs w:val="24"/>
              </w:rPr>
            </w:pPr>
            <w:r w:rsidRPr="0048438C">
              <w:rPr>
                <w:b/>
                <w:szCs w:val="24"/>
              </w:rPr>
              <w:t>Revision:</w:t>
            </w:r>
          </w:p>
        </w:tc>
        <w:tc>
          <w:tcPr>
            <w:tcW w:w="4949" w:type="dxa"/>
            <w:shd w:val="clear" w:color="auto" w:fill="auto"/>
          </w:tcPr>
          <w:p w14:paraId="4573E025" w14:textId="229C24A2" w:rsidR="00220466" w:rsidRPr="0048438C" w:rsidRDefault="00902B4D" w:rsidP="0048438C">
            <w:pPr>
              <w:spacing w:before="60" w:after="60"/>
              <w:rPr>
                <w:szCs w:val="24"/>
              </w:rPr>
            </w:pPr>
            <w:r>
              <w:rPr>
                <w:szCs w:val="24"/>
              </w:rPr>
              <w:t>0</w:t>
            </w:r>
          </w:p>
        </w:tc>
      </w:tr>
      <w:tr w:rsidR="00850471" w:rsidRPr="0048438C" w14:paraId="3FF001D1" w14:textId="77777777" w:rsidTr="22D1F31A">
        <w:trPr>
          <w:trHeight w:val="202"/>
        </w:trPr>
        <w:tc>
          <w:tcPr>
            <w:tcW w:w="4948" w:type="dxa"/>
            <w:shd w:val="clear" w:color="auto" w:fill="auto"/>
          </w:tcPr>
          <w:p w14:paraId="20FBBDA3" w14:textId="34CA6CCC" w:rsidR="00850471" w:rsidRPr="0048438C" w:rsidRDefault="00850471" w:rsidP="0048438C">
            <w:pPr>
              <w:spacing w:before="60" w:after="60"/>
              <w:rPr>
                <w:b/>
                <w:szCs w:val="24"/>
              </w:rPr>
            </w:pPr>
            <w:r w:rsidRPr="0048438C">
              <w:rPr>
                <w:b/>
                <w:szCs w:val="24"/>
              </w:rPr>
              <w:t>Date sent:</w:t>
            </w:r>
          </w:p>
        </w:tc>
        <w:tc>
          <w:tcPr>
            <w:tcW w:w="4949" w:type="dxa"/>
            <w:shd w:val="clear" w:color="auto" w:fill="auto"/>
          </w:tcPr>
          <w:p w14:paraId="74A6D96C" w14:textId="5D0E018F" w:rsidR="00850471" w:rsidRPr="0048438C" w:rsidRDefault="008B4AB6" w:rsidP="22D1F31A">
            <w:pPr>
              <w:spacing w:before="60" w:after="60"/>
              <w:rPr>
                <w:highlight w:val="yellow"/>
              </w:rPr>
            </w:pPr>
            <w:r>
              <w:t>2</w:t>
            </w:r>
            <w:r w:rsidR="6E967953">
              <w:t>4</w:t>
            </w:r>
            <w:r w:rsidR="00850471">
              <w:t>/</w:t>
            </w:r>
            <w:r w:rsidR="0000672E">
              <w:t>08</w:t>
            </w:r>
            <w:r w:rsidR="00850471">
              <w:t>/</w:t>
            </w:r>
            <w:r w:rsidR="0000672E">
              <w:t>23</w:t>
            </w:r>
          </w:p>
        </w:tc>
      </w:tr>
      <w:tr w:rsidR="00220466" w:rsidRPr="0048438C" w14:paraId="4573E029" w14:textId="77777777" w:rsidTr="22D1F31A">
        <w:trPr>
          <w:trHeight w:val="211"/>
        </w:trPr>
        <w:tc>
          <w:tcPr>
            <w:tcW w:w="4948" w:type="dxa"/>
            <w:shd w:val="clear" w:color="auto" w:fill="auto"/>
          </w:tcPr>
          <w:p w14:paraId="4573E027" w14:textId="77777777" w:rsidR="00220466" w:rsidRPr="0048438C" w:rsidRDefault="00220466" w:rsidP="0048438C">
            <w:pPr>
              <w:spacing w:before="60" w:after="60"/>
              <w:rPr>
                <w:b/>
                <w:szCs w:val="24"/>
              </w:rPr>
            </w:pPr>
            <w:r w:rsidRPr="0048438C">
              <w:rPr>
                <w:b/>
                <w:szCs w:val="24"/>
              </w:rPr>
              <w:t>Acknowledgement required by:</w:t>
            </w:r>
          </w:p>
        </w:tc>
        <w:tc>
          <w:tcPr>
            <w:tcW w:w="4949" w:type="dxa"/>
            <w:shd w:val="clear" w:color="auto" w:fill="auto"/>
          </w:tcPr>
          <w:p w14:paraId="4573E028" w14:textId="22612ECF" w:rsidR="00220466" w:rsidRPr="0048438C" w:rsidRDefault="00C15C0B" w:rsidP="0048438C">
            <w:pPr>
              <w:spacing w:before="60" w:after="60"/>
            </w:pPr>
            <w:r>
              <w:t>1</w:t>
            </w:r>
            <w:r w:rsidR="2AC5E5B5">
              <w:t>5</w:t>
            </w:r>
            <w:r>
              <w:t>/09/2023</w:t>
            </w:r>
          </w:p>
        </w:tc>
      </w:tr>
      <w:tr w:rsidR="00220466" w:rsidRPr="0048438C" w14:paraId="4573E02C" w14:textId="77777777" w:rsidTr="22D1F31A">
        <w:trPr>
          <w:trHeight w:val="202"/>
        </w:trPr>
        <w:tc>
          <w:tcPr>
            <w:tcW w:w="4948" w:type="dxa"/>
            <w:shd w:val="clear" w:color="auto" w:fill="auto"/>
          </w:tcPr>
          <w:p w14:paraId="4573E02A" w14:textId="2C90C52D" w:rsidR="00220466" w:rsidRPr="0048438C" w:rsidRDefault="00C34CBC" w:rsidP="0048438C">
            <w:pPr>
              <w:spacing w:before="60" w:after="60"/>
              <w:rPr>
                <w:b/>
                <w:szCs w:val="24"/>
              </w:rPr>
            </w:pPr>
            <w:r w:rsidRPr="0048438C">
              <w:rPr>
                <w:b/>
                <w:szCs w:val="24"/>
              </w:rPr>
              <w:t xml:space="preserve">Resolution Plan </w:t>
            </w:r>
            <w:r w:rsidR="0000781D" w:rsidRPr="0048438C">
              <w:rPr>
                <w:b/>
                <w:szCs w:val="24"/>
              </w:rPr>
              <w:t xml:space="preserve">Agreement </w:t>
            </w:r>
            <w:r w:rsidRPr="0048438C">
              <w:rPr>
                <w:b/>
                <w:szCs w:val="24"/>
              </w:rPr>
              <w:t>Required by</w:t>
            </w:r>
            <w:r w:rsidR="00220466" w:rsidRPr="0048438C">
              <w:rPr>
                <w:b/>
                <w:szCs w:val="24"/>
              </w:rPr>
              <w:t>:</w:t>
            </w:r>
          </w:p>
        </w:tc>
        <w:tc>
          <w:tcPr>
            <w:tcW w:w="4949" w:type="dxa"/>
            <w:shd w:val="clear" w:color="auto" w:fill="auto"/>
          </w:tcPr>
          <w:p w14:paraId="4573E02B" w14:textId="4C888505" w:rsidR="0000781D" w:rsidRPr="0048438C" w:rsidRDefault="00C15C0B" w:rsidP="22D1F31A">
            <w:pPr>
              <w:spacing w:before="60" w:after="60"/>
              <w:rPr>
                <w:highlight w:val="yellow"/>
              </w:rPr>
            </w:pPr>
            <w:r>
              <w:t>1</w:t>
            </w:r>
            <w:r w:rsidR="1995E21D">
              <w:t>3</w:t>
            </w:r>
            <w:r>
              <w:t>/10/2023</w:t>
            </w:r>
          </w:p>
        </w:tc>
      </w:tr>
      <w:tr w:rsidR="00220466" w:rsidRPr="0048438C" w14:paraId="4573E032" w14:textId="77777777" w:rsidTr="22D1F31A">
        <w:trPr>
          <w:trHeight w:val="168"/>
        </w:trPr>
        <w:tc>
          <w:tcPr>
            <w:tcW w:w="4948" w:type="dxa"/>
            <w:shd w:val="clear" w:color="auto" w:fill="auto"/>
          </w:tcPr>
          <w:p w14:paraId="4573E030" w14:textId="641F0447" w:rsidR="00220466" w:rsidRPr="0048438C" w:rsidRDefault="00867341" w:rsidP="0048438C">
            <w:pPr>
              <w:spacing w:before="60" w:after="60"/>
              <w:rPr>
                <w:b/>
                <w:szCs w:val="24"/>
              </w:rPr>
            </w:pPr>
            <w:r>
              <w:rPr>
                <w:b/>
                <w:szCs w:val="24"/>
              </w:rPr>
              <w:t>Record Reference</w:t>
            </w:r>
            <w:r w:rsidR="00494EE4" w:rsidRPr="0048438C">
              <w:rPr>
                <w:b/>
                <w:szCs w:val="24"/>
              </w:rPr>
              <w:t>:</w:t>
            </w:r>
          </w:p>
        </w:tc>
        <w:tc>
          <w:tcPr>
            <w:tcW w:w="4949" w:type="dxa"/>
            <w:shd w:val="clear" w:color="auto" w:fill="auto"/>
          </w:tcPr>
          <w:p w14:paraId="4573E031" w14:textId="513DD4D4" w:rsidR="00220466" w:rsidRPr="0048438C" w:rsidRDefault="7A4B852D" w:rsidP="0048438C">
            <w:pPr>
              <w:spacing w:before="60" w:after="60"/>
            </w:pPr>
            <w:r>
              <w:t>ONRW-2126615823-1172</w:t>
            </w:r>
          </w:p>
        </w:tc>
      </w:tr>
      <w:tr w:rsidR="0040443F" w:rsidRPr="0048438C" w14:paraId="4573E035" w14:textId="77777777" w:rsidTr="22D1F31A">
        <w:trPr>
          <w:trHeight w:val="202"/>
        </w:trPr>
        <w:tc>
          <w:tcPr>
            <w:tcW w:w="4948" w:type="dxa"/>
            <w:shd w:val="clear" w:color="auto" w:fill="auto"/>
          </w:tcPr>
          <w:p w14:paraId="4573E033" w14:textId="26F0FB88" w:rsidR="0040443F" w:rsidRPr="0048438C" w:rsidRDefault="0040443F" w:rsidP="0040443F">
            <w:pPr>
              <w:spacing w:before="60" w:after="60"/>
              <w:rPr>
                <w:b/>
                <w:szCs w:val="24"/>
              </w:rPr>
            </w:pPr>
            <w:r w:rsidRPr="0048438C">
              <w:rPr>
                <w:b/>
                <w:szCs w:val="24"/>
              </w:rPr>
              <w:t>Related RQ / RO No. and CM9 Ref:</w:t>
            </w:r>
            <w:r w:rsidRPr="0048438C">
              <w:rPr>
                <w:szCs w:val="24"/>
              </w:rPr>
              <w:t xml:space="preserve"> (if any)</w:t>
            </w:r>
            <w:r w:rsidRPr="0048438C">
              <w:rPr>
                <w:b/>
                <w:szCs w:val="24"/>
              </w:rPr>
              <w:t>:</w:t>
            </w:r>
          </w:p>
        </w:tc>
        <w:tc>
          <w:tcPr>
            <w:tcW w:w="4949" w:type="dxa"/>
            <w:shd w:val="clear" w:color="auto" w:fill="auto"/>
          </w:tcPr>
          <w:p w14:paraId="4573E034" w14:textId="45D462D3" w:rsidR="0040443F" w:rsidRPr="0040443F" w:rsidRDefault="00EE2273" w:rsidP="0040443F">
            <w:pPr>
              <w:spacing w:before="60" w:after="60"/>
              <w:rPr>
                <w:szCs w:val="24"/>
                <w:highlight w:val="yellow"/>
              </w:rPr>
            </w:pPr>
            <w:r w:rsidRPr="00FA576D">
              <w:rPr>
                <w:szCs w:val="24"/>
              </w:rPr>
              <w:t>N/A</w:t>
            </w:r>
          </w:p>
        </w:tc>
      </w:tr>
      <w:tr w:rsidR="00850471" w:rsidRPr="0048438C" w14:paraId="4573E03E" w14:textId="77777777" w:rsidTr="22D1F31A">
        <w:trPr>
          <w:trHeight w:val="202"/>
        </w:trPr>
        <w:tc>
          <w:tcPr>
            <w:tcW w:w="4948" w:type="dxa"/>
            <w:shd w:val="clear" w:color="auto" w:fill="auto"/>
          </w:tcPr>
          <w:p w14:paraId="4573E03C" w14:textId="77777777" w:rsidR="00850471" w:rsidRPr="0048438C" w:rsidRDefault="00850471" w:rsidP="0048438C">
            <w:pPr>
              <w:spacing w:before="60" w:after="60"/>
              <w:rPr>
                <w:b/>
                <w:szCs w:val="24"/>
              </w:rPr>
            </w:pPr>
            <w:r w:rsidRPr="0048438C">
              <w:rPr>
                <w:b/>
                <w:szCs w:val="24"/>
              </w:rPr>
              <w:t>Observation title:</w:t>
            </w:r>
          </w:p>
        </w:tc>
        <w:tc>
          <w:tcPr>
            <w:tcW w:w="4949" w:type="dxa"/>
            <w:shd w:val="clear" w:color="auto" w:fill="auto"/>
          </w:tcPr>
          <w:p w14:paraId="4573E03D" w14:textId="709C41B9" w:rsidR="0040443F" w:rsidRPr="0048438C" w:rsidRDefault="00D92FBA" w:rsidP="0048438C">
            <w:pPr>
              <w:spacing w:before="60" w:after="60"/>
              <w:rPr>
                <w:szCs w:val="24"/>
              </w:rPr>
            </w:pPr>
            <w:r>
              <w:rPr>
                <w:szCs w:val="24"/>
              </w:rPr>
              <w:t>PSA</w:t>
            </w:r>
            <w:r w:rsidR="00B13418" w:rsidRPr="009D7E32">
              <w:rPr>
                <w:szCs w:val="24"/>
              </w:rPr>
              <w:t xml:space="preserve"> Project Plan</w:t>
            </w:r>
            <w:r>
              <w:rPr>
                <w:szCs w:val="24"/>
              </w:rPr>
              <w:t xml:space="preserve"> and Integration</w:t>
            </w:r>
          </w:p>
        </w:tc>
      </w:tr>
      <w:tr w:rsidR="00CC67B6" w:rsidRPr="0048438C" w14:paraId="4573E043" w14:textId="77777777" w:rsidTr="22D1F31A">
        <w:trPr>
          <w:trHeight w:val="202"/>
        </w:trPr>
        <w:tc>
          <w:tcPr>
            <w:tcW w:w="4948" w:type="dxa"/>
            <w:shd w:val="clear" w:color="auto" w:fill="auto"/>
          </w:tcPr>
          <w:p w14:paraId="71E06B30" w14:textId="77777777" w:rsidR="00CC67B6" w:rsidRPr="0048438C" w:rsidRDefault="00CC67B6" w:rsidP="0048438C">
            <w:pPr>
              <w:spacing w:before="60" w:after="60"/>
              <w:rPr>
                <w:szCs w:val="24"/>
              </w:rPr>
            </w:pPr>
            <w:r w:rsidRPr="0048438C">
              <w:rPr>
                <w:b/>
                <w:szCs w:val="24"/>
              </w:rPr>
              <w:t>Lead technical topic:</w:t>
            </w:r>
          </w:p>
          <w:p w14:paraId="232C8096" w14:textId="77777777" w:rsidR="0087645C" w:rsidRPr="0087645C" w:rsidRDefault="0087645C" w:rsidP="0087645C">
            <w:pPr>
              <w:spacing w:before="60" w:after="60"/>
              <w:rPr>
                <w:szCs w:val="24"/>
              </w:rPr>
            </w:pPr>
            <w:r w:rsidRPr="0087645C">
              <w:rPr>
                <w:szCs w:val="24"/>
              </w:rPr>
              <w:t>Probabilistic Safety Analysis</w:t>
            </w:r>
          </w:p>
          <w:p w14:paraId="4573E040" w14:textId="660971D6" w:rsidR="00CC67B6" w:rsidRPr="0048438C" w:rsidRDefault="00CC67B6" w:rsidP="0087645C">
            <w:pPr>
              <w:pStyle w:val="ListParagraph"/>
              <w:spacing w:before="60" w:after="60"/>
              <w:ind w:left="0"/>
              <w:rPr>
                <w:szCs w:val="24"/>
              </w:rPr>
            </w:pPr>
          </w:p>
        </w:tc>
        <w:tc>
          <w:tcPr>
            <w:tcW w:w="4949" w:type="dxa"/>
            <w:shd w:val="clear" w:color="auto" w:fill="auto"/>
          </w:tcPr>
          <w:p w14:paraId="0BA3764E" w14:textId="77777777" w:rsidR="00CC67B6" w:rsidRPr="0048438C" w:rsidRDefault="00CC67B6" w:rsidP="0048438C">
            <w:pPr>
              <w:spacing w:before="60" w:after="60"/>
              <w:rPr>
                <w:b/>
                <w:szCs w:val="24"/>
              </w:rPr>
            </w:pPr>
            <w:r w:rsidRPr="0048438C">
              <w:rPr>
                <w:b/>
                <w:szCs w:val="24"/>
              </w:rPr>
              <w:t>Related technical topic(s):</w:t>
            </w:r>
          </w:p>
          <w:p w14:paraId="5501AF61" w14:textId="77777777" w:rsidR="003A6935" w:rsidRPr="003A6935" w:rsidRDefault="003A6935" w:rsidP="003A6935">
            <w:pPr>
              <w:spacing w:before="60" w:after="60"/>
              <w:rPr>
                <w:szCs w:val="24"/>
              </w:rPr>
            </w:pPr>
            <w:r w:rsidRPr="003A6935">
              <w:rPr>
                <w:szCs w:val="24"/>
              </w:rPr>
              <w:t>External Hazards</w:t>
            </w:r>
          </w:p>
          <w:p w14:paraId="3CB201B2" w14:textId="77777777" w:rsidR="003A6935" w:rsidRPr="003A6935" w:rsidRDefault="003A6935" w:rsidP="003A6935">
            <w:pPr>
              <w:spacing w:before="60" w:after="60"/>
              <w:rPr>
                <w:szCs w:val="24"/>
              </w:rPr>
            </w:pPr>
            <w:r w:rsidRPr="003A6935">
              <w:rPr>
                <w:szCs w:val="24"/>
              </w:rPr>
              <w:t>Fault Studies</w:t>
            </w:r>
          </w:p>
          <w:p w14:paraId="0E0835DB" w14:textId="77777777" w:rsidR="003A6935" w:rsidRPr="003A6935" w:rsidRDefault="003A6935" w:rsidP="003A6935">
            <w:pPr>
              <w:spacing w:before="60" w:after="60"/>
              <w:rPr>
                <w:szCs w:val="24"/>
              </w:rPr>
            </w:pPr>
            <w:r w:rsidRPr="003A6935">
              <w:rPr>
                <w:szCs w:val="24"/>
              </w:rPr>
              <w:t>Internal Hazards</w:t>
            </w:r>
          </w:p>
          <w:p w14:paraId="7E77BE0F" w14:textId="2E526BB4" w:rsidR="003A6935" w:rsidRPr="003A6935" w:rsidRDefault="003A6935" w:rsidP="003A6935">
            <w:pPr>
              <w:spacing w:before="60" w:after="60"/>
              <w:rPr>
                <w:szCs w:val="24"/>
              </w:rPr>
            </w:pPr>
            <w:r w:rsidRPr="003A6935">
              <w:rPr>
                <w:szCs w:val="24"/>
              </w:rPr>
              <w:t>Radiological Consequences</w:t>
            </w:r>
          </w:p>
          <w:p w14:paraId="4573E042" w14:textId="585F4517" w:rsidR="00CC67B6" w:rsidRPr="0048438C" w:rsidRDefault="003A6935" w:rsidP="00B13418">
            <w:pPr>
              <w:spacing w:before="60" w:after="60"/>
              <w:rPr>
                <w:szCs w:val="24"/>
              </w:rPr>
            </w:pPr>
            <w:r w:rsidRPr="003A6935">
              <w:rPr>
                <w:szCs w:val="24"/>
              </w:rPr>
              <w:t>Severe Accident Analysis</w:t>
            </w:r>
            <w:r w:rsidR="00CC67B6" w:rsidRPr="0048438C">
              <w:rPr>
                <w:szCs w:val="24"/>
                <w:lang w:eastAsia="en-GB"/>
              </w:rPr>
              <w:fldChar w:fldCharType="begin"/>
            </w:r>
            <w:r w:rsidR="00CC67B6" w:rsidRPr="0048438C">
              <w:rPr>
                <w:szCs w:val="24"/>
                <w:lang w:eastAsia="en-GB"/>
              </w:rPr>
              <w:instrText xml:space="preserve"> MERGEFIELD F10 </w:instrText>
            </w:r>
            <w:r w:rsidR="00CC67B6" w:rsidRPr="0048438C">
              <w:rPr>
                <w:szCs w:val="24"/>
                <w:lang w:eastAsia="en-GB"/>
              </w:rPr>
              <w:fldChar w:fldCharType="end"/>
            </w:r>
          </w:p>
        </w:tc>
      </w:tr>
      <w:tr w:rsidR="00850471" w:rsidRPr="0048438C" w14:paraId="4573E045" w14:textId="77777777" w:rsidTr="22D1F31A">
        <w:trPr>
          <w:trHeight w:val="242"/>
        </w:trPr>
        <w:tc>
          <w:tcPr>
            <w:tcW w:w="9897" w:type="dxa"/>
            <w:gridSpan w:val="2"/>
            <w:shd w:val="clear" w:color="auto" w:fill="CCCCCC"/>
          </w:tcPr>
          <w:p w14:paraId="4573E044" w14:textId="7ECC632F" w:rsidR="00850471" w:rsidRPr="00581D5B" w:rsidRDefault="00581D5B" w:rsidP="0048438C">
            <w:pPr>
              <w:spacing w:before="60" w:after="60"/>
              <w:rPr>
                <w:b/>
                <w:iCs/>
                <w:szCs w:val="24"/>
              </w:rPr>
            </w:pPr>
            <w:r w:rsidRPr="00581D5B">
              <w:rPr>
                <w:b/>
                <w:iCs/>
                <w:szCs w:val="24"/>
              </w:rPr>
              <w:t>REGULATORY OBSERVATION:</w:t>
            </w:r>
          </w:p>
        </w:tc>
      </w:tr>
      <w:tr w:rsidR="00850471" w:rsidRPr="0048438C" w14:paraId="4573E049" w14:textId="77777777" w:rsidTr="22D1F31A">
        <w:tc>
          <w:tcPr>
            <w:tcW w:w="9897" w:type="dxa"/>
            <w:gridSpan w:val="2"/>
            <w:shd w:val="clear" w:color="auto" w:fill="auto"/>
          </w:tcPr>
          <w:p w14:paraId="4F3F6A8D" w14:textId="162229E0" w:rsidR="00850471" w:rsidRPr="0048438C" w:rsidRDefault="00CC67B6" w:rsidP="0048438C">
            <w:pPr>
              <w:spacing w:before="60" w:after="60"/>
              <w:rPr>
                <w:b/>
                <w:szCs w:val="24"/>
                <w:u w:val="single"/>
              </w:rPr>
            </w:pPr>
            <w:r w:rsidRPr="0048438C">
              <w:rPr>
                <w:b/>
                <w:szCs w:val="24"/>
                <w:u w:val="single"/>
              </w:rPr>
              <w:t>Background</w:t>
            </w:r>
          </w:p>
          <w:p w14:paraId="14D7DBDF" w14:textId="53F5C854" w:rsidR="00B13418" w:rsidRDefault="00B13418" w:rsidP="00B13418">
            <w:r>
              <w:t xml:space="preserve">The </w:t>
            </w:r>
            <w:r w:rsidR="00182986">
              <w:t>Generic Design Assessment (GDA) of the</w:t>
            </w:r>
            <w:r w:rsidR="004F3DB9">
              <w:t xml:space="preserve"> </w:t>
            </w:r>
            <w:r>
              <w:t>R</w:t>
            </w:r>
            <w:r w:rsidR="00D92FBA">
              <w:t>olls-</w:t>
            </w:r>
            <w:r>
              <w:t>R</w:t>
            </w:r>
            <w:r w:rsidR="00D92FBA">
              <w:t>oyce</w:t>
            </w:r>
            <w:r>
              <w:t xml:space="preserve"> </w:t>
            </w:r>
            <w:r w:rsidR="00472ADC">
              <w:t>Small Modular Reactor (</w:t>
            </w:r>
            <w:r>
              <w:t>SMR</w:t>
            </w:r>
            <w:r w:rsidR="00472ADC">
              <w:t>)</w:t>
            </w:r>
            <w:r>
              <w:t xml:space="preserve"> started in April 2022. </w:t>
            </w:r>
            <w:r w:rsidR="003037B0">
              <w:t>The Rolls-Royce SMR</w:t>
            </w:r>
            <w:r w:rsidR="00DE148B">
              <w:t xml:space="preserve"> design</w:t>
            </w:r>
            <w:r w:rsidR="003037B0">
              <w:t xml:space="preserve"> </w:t>
            </w:r>
            <w:r w:rsidR="000455A3">
              <w:t xml:space="preserve">is </w:t>
            </w:r>
            <w:r>
              <w:t xml:space="preserve">currently mid-way through Step 2 of the GDA. </w:t>
            </w:r>
          </w:p>
          <w:p w14:paraId="381AC863" w14:textId="77777777" w:rsidR="00B13418" w:rsidRDefault="00B13418" w:rsidP="00B13418"/>
          <w:p w14:paraId="768657A7" w14:textId="56BBFD23" w:rsidR="00B13418" w:rsidRDefault="00D92FBA" w:rsidP="00B13418">
            <w:r>
              <w:t>Rolls-Royce</w:t>
            </w:r>
            <w:r w:rsidR="00B13418">
              <w:t xml:space="preserve"> SMR Ltd</w:t>
            </w:r>
            <w:r>
              <w:t>.</w:t>
            </w:r>
            <w:r w:rsidR="00B13418">
              <w:t xml:space="preserve"> </w:t>
            </w:r>
            <w:r w:rsidR="00DE148B">
              <w:t xml:space="preserve">has </w:t>
            </w:r>
            <w:r w:rsidR="00B13418">
              <w:t>indicated their intention to develop, within GDA timescales, a full-scope modern-standards P</w:t>
            </w:r>
            <w:r w:rsidR="00B27336">
              <w:t xml:space="preserve">robabilistic </w:t>
            </w:r>
            <w:r w:rsidR="00B13418">
              <w:t>S</w:t>
            </w:r>
            <w:r w:rsidR="00B27336">
              <w:t xml:space="preserve">afety </w:t>
            </w:r>
            <w:r w:rsidR="00B13418">
              <w:t>A</w:t>
            </w:r>
            <w:r w:rsidR="00B27336">
              <w:t>nalysis (PSA)</w:t>
            </w:r>
            <w:r w:rsidR="00B13418">
              <w:t xml:space="preserve"> to demonstrate risks are </w:t>
            </w:r>
            <w:r w:rsidR="00B27336">
              <w:t>As Low As Reasonably Practicable (</w:t>
            </w:r>
            <w:r w:rsidR="00B13418">
              <w:t>ALARP</w:t>
            </w:r>
            <w:r w:rsidR="00B27336">
              <w:t>)</w:t>
            </w:r>
            <w:r w:rsidR="00B13418">
              <w:t xml:space="preserve"> and to support risk inform</w:t>
            </w:r>
            <w:r w:rsidR="00182986">
              <w:t>ed</w:t>
            </w:r>
            <w:r w:rsidR="00B13418">
              <w:t xml:space="preserve"> design development of the </w:t>
            </w:r>
            <w:r>
              <w:t>Rolls-Royce</w:t>
            </w:r>
            <w:r w:rsidR="00B13418">
              <w:t xml:space="preserve"> SMR. </w:t>
            </w:r>
          </w:p>
          <w:p w14:paraId="1ADD8BC5" w14:textId="77777777" w:rsidR="00B13418" w:rsidRDefault="00B13418" w:rsidP="00B13418"/>
          <w:p w14:paraId="007C5B27" w14:textId="006C0F80" w:rsidR="00444A94" w:rsidRPr="006A7F17" w:rsidRDefault="00444A94" w:rsidP="00B13418">
            <w:pPr>
              <w:spacing w:before="60" w:after="60"/>
            </w:pPr>
            <w:r>
              <w:t xml:space="preserve">Prior to GDA </w:t>
            </w:r>
            <w:r w:rsidR="00994EB2">
              <w:t>starting</w:t>
            </w:r>
            <w:r w:rsidR="00B27336">
              <w:t>,</w:t>
            </w:r>
            <w:r w:rsidR="00994EB2">
              <w:t xml:space="preserve"> </w:t>
            </w:r>
            <w:r w:rsidR="00D92FBA">
              <w:t>Rolls-Royce</w:t>
            </w:r>
            <w:r w:rsidR="00994EB2">
              <w:t xml:space="preserve"> SMR Ltd</w:t>
            </w:r>
            <w:r w:rsidR="00D92FBA">
              <w:t>.</w:t>
            </w:r>
            <w:r w:rsidR="00994EB2">
              <w:t xml:space="preserve"> used PSA to inform early design decisions such as the optimal number of steam generators</w:t>
            </w:r>
            <w:r w:rsidR="00FD7B89">
              <w:t>. This represented good practice</w:t>
            </w:r>
            <w:r w:rsidR="002A5FA7">
              <w:t>. The PSA was updated in line with the design until around 2018. Since this time the development of the PSA has been more limited</w:t>
            </w:r>
            <w:r w:rsidR="00F06A8D">
              <w:t xml:space="preserve">, such that by the start of GDA there was a gap between the PSA model and the latest design reference. </w:t>
            </w:r>
            <w:r w:rsidR="002529FB">
              <w:t>The extent of the PSA is also limited</w:t>
            </w:r>
            <w:r w:rsidR="00EE7367">
              <w:t xml:space="preserve"> in that it only </w:t>
            </w:r>
            <w:r w:rsidR="00EE7367" w:rsidRPr="006A7F17">
              <w:t>covers</w:t>
            </w:r>
            <w:r w:rsidR="00C30FD1" w:rsidRPr="006A7F17">
              <w:t xml:space="preserve"> reactor</w:t>
            </w:r>
            <w:r w:rsidR="00EE7367" w:rsidRPr="006A7F17">
              <w:t xml:space="preserve"> internal events at power for intact circuit faults and loss of coolant faults. </w:t>
            </w:r>
            <w:r w:rsidR="00F66090" w:rsidRPr="006A7F17">
              <w:t xml:space="preserve">It does not cover </w:t>
            </w:r>
            <w:r w:rsidR="00182986" w:rsidRPr="006A7F17">
              <w:t xml:space="preserve">other fault types, </w:t>
            </w:r>
            <w:r w:rsidR="00F66090" w:rsidRPr="006A7F17">
              <w:t xml:space="preserve">shutdown states, fuel handling, fuel storage, hazards, level 2 </w:t>
            </w:r>
            <w:r w:rsidR="008401FD" w:rsidRPr="006A7F17">
              <w:t xml:space="preserve">PSA </w:t>
            </w:r>
            <w:r w:rsidR="00F66090" w:rsidRPr="006A7F17">
              <w:t xml:space="preserve">or level 3 PSA. </w:t>
            </w:r>
            <w:r w:rsidR="00994EB2" w:rsidRPr="006A7F17">
              <w:t xml:space="preserve"> </w:t>
            </w:r>
          </w:p>
          <w:p w14:paraId="45317651" w14:textId="77777777" w:rsidR="00444A94" w:rsidRPr="006A7F17" w:rsidRDefault="00444A94" w:rsidP="00B13418">
            <w:pPr>
              <w:spacing w:before="60" w:after="60"/>
            </w:pPr>
          </w:p>
          <w:p w14:paraId="4128EBEA" w14:textId="54FF8C7A" w:rsidR="00B13418" w:rsidRDefault="006C01A5" w:rsidP="00B13418">
            <w:pPr>
              <w:spacing w:before="60" w:after="60"/>
            </w:pPr>
            <w:r w:rsidRPr="006A7F17">
              <w:t>Early in GDA</w:t>
            </w:r>
            <w:r w:rsidR="00B13418" w:rsidRPr="006A7F17">
              <w:t xml:space="preserve"> </w:t>
            </w:r>
            <w:r w:rsidR="00D92FBA" w:rsidRPr="006A7F17">
              <w:t>Rolls-Royce</w:t>
            </w:r>
            <w:r w:rsidR="00B13418" w:rsidRPr="006A7F17">
              <w:t xml:space="preserve"> SMR Ltd</w:t>
            </w:r>
            <w:r w:rsidR="00D92FBA" w:rsidRPr="006A7F17">
              <w:t>.</w:t>
            </w:r>
            <w:r w:rsidR="00B13418" w:rsidRPr="006A7F17">
              <w:t xml:space="preserve"> submitted a scope and submission plan </w:t>
            </w:r>
            <w:r w:rsidR="00697131" w:rsidRPr="006A7F17">
              <w:t>[</w:t>
            </w:r>
            <w:r w:rsidR="001F6603" w:rsidRPr="006A7F17">
              <w:t>1</w:t>
            </w:r>
            <w:r w:rsidR="00697131" w:rsidRPr="006A7F17">
              <w:t xml:space="preserve">] </w:t>
            </w:r>
            <w:r w:rsidR="00B13418" w:rsidRPr="006A7F17">
              <w:t>which laid out the expected deliverables for Step 2 and Step 3 of GDA. According to this plan the internal events at power PSA would be rebuilt</w:t>
            </w:r>
            <w:r w:rsidR="00B13418">
              <w:t xml:space="preserve"> and updated in line with the design during Step 2. </w:t>
            </w:r>
            <w:r w:rsidR="00B33641">
              <w:t xml:space="preserve">The PSA model is to be symmetric </w:t>
            </w:r>
            <w:r w:rsidR="00F449B2">
              <w:t xml:space="preserve">which is a positive development. </w:t>
            </w:r>
            <w:r w:rsidR="00B13418">
              <w:t xml:space="preserve">The plan also established </w:t>
            </w:r>
            <w:r w:rsidR="00BF26C3">
              <w:t xml:space="preserve">the intent </w:t>
            </w:r>
            <w:r w:rsidR="00B13418">
              <w:t>that</w:t>
            </w:r>
            <w:r w:rsidR="00FA3F76">
              <w:t>,</w:t>
            </w:r>
            <w:r w:rsidR="00B13418">
              <w:t xml:space="preserve"> during Step 3</w:t>
            </w:r>
            <w:r w:rsidR="00FA3F76">
              <w:t>,</w:t>
            </w:r>
            <w:r w:rsidR="00B13418">
              <w:t xml:space="preserve"> </w:t>
            </w:r>
            <w:r w:rsidR="00D92FBA">
              <w:t>Rolls-Royce</w:t>
            </w:r>
            <w:r w:rsidR="00B13418">
              <w:t xml:space="preserve"> SMR Ltd</w:t>
            </w:r>
            <w:r w:rsidR="00D92FBA">
              <w:t>.</w:t>
            </w:r>
            <w:r w:rsidR="00B13418">
              <w:t xml:space="preserve"> would submit internal events shutdown state PSA, internal and external hazards PSA for all plant states, plus fuel route and fuel handing PSA. Level 2 and level 3 PSA would also be submitted </w:t>
            </w:r>
            <w:r w:rsidR="3AAE5A55">
              <w:t xml:space="preserve">in Step 3 </w:t>
            </w:r>
            <w:r w:rsidR="00B13418">
              <w:t xml:space="preserve">to establish the off-site consequences for all the aspects listed above. </w:t>
            </w:r>
            <w:r w:rsidR="00BF26C3">
              <w:t xml:space="preserve"> </w:t>
            </w:r>
          </w:p>
          <w:p w14:paraId="4BC89D50" w14:textId="77777777" w:rsidR="00B13418" w:rsidRDefault="00B13418" w:rsidP="00B13418">
            <w:pPr>
              <w:spacing w:before="60" w:after="60"/>
            </w:pPr>
          </w:p>
          <w:p w14:paraId="54F4D17C" w14:textId="04EB1317" w:rsidR="00B13418" w:rsidRDefault="00B13418" w:rsidP="00B13418">
            <w:pPr>
              <w:spacing w:before="60" w:after="60"/>
            </w:pPr>
            <w:r>
              <w:t xml:space="preserve">The PSA Development Strategy </w:t>
            </w:r>
            <w:r w:rsidR="008208D7">
              <w:t>[</w:t>
            </w:r>
            <w:r w:rsidR="001F6603">
              <w:t>2</w:t>
            </w:r>
            <w:r w:rsidR="008208D7">
              <w:t>]</w:t>
            </w:r>
            <w:r w:rsidR="00BA1F92">
              <w:t xml:space="preserve"> </w:t>
            </w:r>
            <w:r>
              <w:t xml:space="preserve">has been </w:t>
            </w:r>
            <w:r w:rsidR="00396B05">
              <w:t xml:space="preserve">submitted </w:t>
            </w:r>
            <w:r>
              <w:t xml:space="preserve">by </w:t>
            </w:r>
            <w:r w:rsidR="00D92FBA">
              <w:t>Rolls-Royce</w:t>
            </w:r>
            <w:r>
              <w:t xml:space="preserve"> SMR Ltd</w:t>
            </w:r>
            <w:r w:rsidR="00D92FBA">
              <w:t>.</w:t>
            </w:r>
            <w:r>
              <w:t xml:space="preserve"> and assessed by ONR.</w:t>
            </w:r>
            <w:r w:rsidR="00DC1ADE">
              <w:t xml:space="preserve"> The purpose of the document is to outline the development of the PSA throughout the rest of GDA.</w:t>
            </w:r>
            <w:r>
              <w:t xml:space="preserve"> </w:t>
            </w:r>
          </w:p>
          <w:p w14:paraId="30E2D753" w14:textId="77777777" w:rsidR="00303BF9" w:rsidRDefault="00303BF9" w:rsidP="00B13418">
            <w:pPr>
              <w:spacing w:before="60" w:after="60"/>
            </w:pPr>
          </w:p>
          <w:p w14:paraId="044184CF" w14:textId="4D6EEC49" w:rsidR="00B13418" w:rsidRDefault="005A5989" w:rsidP="00B13418">
            <w:pPr>
              <w:spacing w:before="60" w:after="60"/>
            </w:pPr>
            <w:r>
              <w:t xml:space="preserve">Assessment of this document, and discussions with </w:t>
            </w:r>
            <w:r w:rsidR="00D92FBA">
              <w:t xml:space="preserve">Rolls-Royce </w:t>
            </w:r>
            <w:r>
              <w:t>SMR Ltd</w:t>
            </w:r>
            <w:r w:rsidR="00D92FBA">
              <w:t>.</w:t>
            </w:r>
            <w:r w:rsidR="00163603">
              <w:t>,</w:t>
            </w:r>
            <w:r>
              <w:t xml:space="preserve"> have revealed </w:t>
            </w:r>
            <w:r w:rsidR="00B13418">
              <w:t xml:space="preserve">gaps in the following areas: </w:t>
            </w:r>
          </w:p>
          <w:p w14:paraId="67E52A60" w14:textId="050472B3" w:rsidR="004F611E" w:rsidRDefault="004F611E" w:rsidP="00064745">
            <w:pPr>
              <w:pStyle w:val="ListParagraph"/>
              <w:numPr>
                <w:ilvl w:val="0"/>
                <w:numId w:val="29"/>
              </w:numPr>
              <w:spacing w:before="120"/>
              <w:ind w:left="714" w:hanging="357"/>
              <w:contextualSpacing w:val="0"/>
            </w:pPr>
            <w:r>
              <w:t xml:space="preserve">The integration of PSA into the wider safety case </w:t>
            </w:r>
            <w:r w:rsidR="005B7A7E">
              <w:t>is not clear</w:t>
            </w:r>
          </w:p>
          <w:p w14:paraId="22BD1CEB" w14:textId="0DA63444" w:rsidR="00337B4A" w:rsidRPr="00B13418" w:rsidRDefault="00337B4A" w:rsidP="00064745">
            <w:pPr>
              <w:pStyle w:val="ListParagraph"/>
              <w:numPr>
                <w:ilvl w:val="0"/>
                <w:numId w:val="29"/>
              </w:numPr>
              <w:spacing w:before="120"/>
              <w:ind w:left="714" w:hanging="357"/>
              <w:contextualSpacing w:val="0"/>
            </w:pPr>
            <w:r>
              <w:t>There is no discussion on how the hazards PSA will be developed</w:t>
            </w:r>
          </w:p>
          <w:p w14:paraId="3D0CC2EB" w14:textId="59CE7E28" w:rsidR="00337B4A" w:rsidRPr="00B13418" w:rsidRDefault="00337B4A" w:rsidP="00064745">
            <w:pPr>
              <w:pStyle w:val="ListParagraph"/>
              <w:numPr>
                <w:ilvl w:val="0"/>
                <w:numId w:val="29"/>
              </w:numPr>
              <w:spacing w:before="120"/>
              <w:ind w:left="714" w:hanging="357"/>
              <w:contextualSpacing w:val="0"/>
            </w:pPr>
            <w:r w:rsidRPr="00B13418">
              <w:t xml:space="preserve">The </w:t>
            </w:r>
            <w:r w:rsidR="005426E6">
              <w:t>strategy</w:t>
            </w:r>
            <w:r w:rsidRPr="00B13418">
              <w:t xml:space="preserve"> </w:t>
            </w:r>
            <w:r w:rsidRPr="00DB5FD8">
              <w:t>does not describe how the radiological risks to on-site workers will be evaluated</w:t>
            </w:r>
          </w:p>
          <w:p w14:paraId="5E277F85" w14:textId="6111513D" w:rsidR="00337B4A" w:rsidRDefault="00337B4A" w:rsidP="00064745">
            <w:pPr>
              <w:pStyle w:val="ListParagraph"/>
              <w:numPr>
                <w:ilvl w:val="0"/>
                <w:numId w:val="29"/>
              </w:numPr>
              <w:spacing w:before="120"/>
              <w:ind w:left="714" w:hanging="357"/>
              <w:contextualSpacing w:val="0"/>
            </w:pPr>
            <w:r w:rsidRPr="00B13418">
              <w:t xml:space="preserve">The </w:t>
            </w:r>
            <w:r w:rsidR="0035799C">
              <w:t xml:space="preserve">significant sources of radioactivity that the PSA will model </w:t>
            </w:r>
            <w:r w:rsidR="008A57B7">
              <w:t>are</w:t>
            </w:r>
            <w:r w:rsidRPr="00B13418">
              <w:t xml:space="preserve"> not described</w:t>
            </w:r>
          </w:p>
          <w:p w14:paraId="4B720AD0" w14:textId="53CAE56C" w:rsidR="00E3346A" w:rsidRPr="00B13418" w:rsidRDefault="00E3346A" w:rsidP="00064745">
            <w:pPr>
              <w:pStyle w:val="ListParagraph"/>
              <w:numPr>
                <w:ilvl w:val="0"/>
                <w:numId w:val="29"/>
              </w:numPr>
              <w:spacing w:before="120"/>
              <w:ind w:left="714" w:hanging="357"/>
              <w:contextualSpacing w:val="0"/>
            </w:pPr>
            <w:r>
              <w:t xml:space="preserve">No details are provided on </w:t>
            </w:r>
            <w:r w:rsidR="008B1F89">
              <w:t>how the PSA for fuel handling will be developed</w:t>
            </w:r>
          </w:p>
          <w:p w14:paraId="38845244" w14:textId="4F7F3A16" w:rsidR="00337B4A" w:rsidRDefault="00337B4A" w:rsidP="00064745">
            <w:pPr>
              <w:pStyle w:val="ListParagraph"/>
              <w:numPr>
                <w:ilvl w:val="0"/>
                <w:numId w:val="29"/>
              </w:numPr>
              <w:spacing w:before="120"/>
              <w:ind w:left="714" w:hanging="357"/>
              <w:contextualSpacing w:val="0"/>
            </w:pPr>
            <w:r w:rsidRPr="00B13418">
              <w:t xml:space="preserve">The interface with </w:t>
            </w:r>
            <w:r w:rsidR="002D1996">
              <w:t xml:space="preserve">Rolls-Royce SMR’s </w:t>
            </w:r>
            <w:r w:rsidR="00E24F4C">
              <w:t>S</w:t>
            </w:r>
            <w:r w:rsidRPr="00B13418">
              <w:t xml:space="preserve">evere </w:t>
            </w:r>
            <w:r w:rsidR="00E24F4C">
              <w:t>A</w:t>
            </w:r>
            <w:r w:rsidRPr="00B13418">
              <w:t>ccidents</w:t>
            </w:r>
            <w:r w:rsidR="009B31DA">
              <w:t xml:space="preserve"> Analysis</w:t>
            </w:r>
            <w:r w:rsidR="002D1996">
              <w:t xml:space="preserve"> team</w:t>
            </w:r>
            <w:r w:rsidRPr="00B13418">
              <w:t xml:space="preserve"> is not clear, and the plans for development of the level 2 and 3 PSA are not detailed</w:t>
            </w:r>
          </w:p>
          <w:p w14:paraId="4846E1C9" w14:textId="57438FA1" w:rsidR="00C37FB5" w:rsidRPr="006F7945" w:rsidRDefault="00C37FB5" w:rsidP="00064745">
            <w:pPr>
              <w:pStyle w:val="ListParagraph"/>
              <w:numPr>
                <w:ilvl w:val="0"/>
                <w:numId w:val="29"/>
              </w:numPr>
              <w:spacing w:before="120"/>
              <w:ind w:left="714" w:hanging="357"/>
              <w:contextualSpacing w:val="0"/>
            </w:pPr>
            <w:r>
              <w:t xml:space="preserve">The computer codes </w:t>
            </w:r>
            <w:r w:rsidRPr="006F7945">
              <w:t xml:space="preserve">to be used for </w:t>
            </w:r>
            <w:r w:rsidR="00131A93" w:rsidRPr="006F7945">
              <w:t xml:space="preserve">transient analysis, severe accident analysis and </w:t>
            </w:r>
            <w:r w:rsidR="00496FAC" w:rsidRPr="006F7945">
              <w:t>l</w:t>
            </w:r>
            <w:r w:rsidR="00131A93" w:rsidRPr="006F7945">
              <w:t xml:space="preserve">evel 3 PSA are not </w:t>
            </w:r>
            <w:r w:rsidR="00814F7B" w:rsidRPr="006F7945">
              <w:t>identified</w:t>
            </w:r>
          </w:p>
          <w:p w14:paraId="683CF683" w14:textId="637CFFD1" w:rsidR="00B13418" w:rsidRPr="006F7945" w:rsidRDefault="002B263E" w:rsidP="00064745">
            <w:pPr>
              <w:pStyle w:val="ListParagraph"/>
              <w:numPr>
                <w:ilvl w:val="0"/>
                <w:numId w:val="29"/>
              </w:numPr>
              <w:spacing w:before="120"/>
              <w:ind w:left="714" w:hanging="357"/>
              <w:contextualSpacing w:val="0"/>
            </w:pPr>
            <w:r w:rsidRPr="006F7945">
              <w:t xml:space="preserve">Deliverables in </w:t>
            </w:r>
            <w:r w:rsidR="00B13418" w:rsidRPr="006F7945">
              <w:t xml:space="preserve">Step 3 </w:t>
            </w:r>
            <w:r w:rsidRPr="006F7945">
              <w:t>were not</w:t>
            </w:r>
            <w:r w:rsidR="00B13418" w:rsidRPr="006F7945">
              <w:t xml:space="preserve"> addressed </w:t>
            </w:r>
            <w:r w:rsidRPr="006F7945">
              <w:t xml:space="preserve">consistently </w:t>
            </w:r>
            <w:r w:rsidR="00B13418" w:rsidRPr="006F7945">
              <w:t xml:space="preserve">within </w:t>
            </w:r>
            <w:r w:rsidRPr="006F7945">
              <w:t>different</w:t>
            </w:r>
            <w:r w:rsidR="006F7945" w:rsidRPr="006F7945">
              <w:t xml:space="preserve"> se</w:t>
            </w:r>
            <w:r w:rsidR="00B13418" w:rsidRPr="006F7945">
              <w:t>ctions</w:t>
            </w:r>
          </w:p>
          <w:p w14:paraId="442C974F" w14:textId="4C92CF43" w:rsidR="00B9538F" w:rsidRPr="006F7945" w:rsidRDefault="002D36A4" w:rsidP="00B9538F">
            <w:pPr>
              <w:pStyle w:val="ListParagraph"/>
              <w:numPr>
                <w:ilvl w:val="0"/>
                <w:numId w:val="29"/>
              </w:numPr>
              <w:spacing w:before="120"/>
              <w:ind w:left="714" w:hanging="357"/>
              <w:contextualSpacing w:val="0"/>
            </w:pPr>
            <w:r w:rsidRPr="006F7945">
              <w:t>Description of r</w:t>
            </w:r>
            <w:r w:rsidR="00B13418" w:rsidRPr="006F7945">
              <w:t xml:space="preserve">esourcing </w:t>
            </w:r>
            <w:r w:rsidRPr="006F7945">
              <w:t>of</w:t>
            </w:r>
            <w:r w:rsidR="00B13418" w:rsidRPr="006F7945">
              <w:t xml:space="preserve"> the </w:t>
            </w:r>
            <w:r w:rsidRPr="006F7945">
              <w:t xml:space="preserve">PSA </w:t>
            </w:r>
            <w:r w:rsidR="00B13418" w:rsidRPr="006F7945">
              <w:t xml:space="preserve">team is </w:t>
            </w:r>
            <w:r w:rsidRPr="006F7945">
              <w:t>limited</w:t>
            </w:r>
            <w:r w:rsidR="00B13418" w:rsidRPr="006F7945">
              <w:t>, and there is no indication of how the scope of step 3 will be delivered</w:t>
            </w:r>
          </w:p>
          <w:p w14:paraId="77BD93D2" w14:textId="48902B92" w:rsidR="00B13418" w:rsidRDefault="00C938C9" w:rsidP="00B9538F">
            <w:pPr>
              <w:spacing w:before="120" w:after="60"/>
            </w:pPr>
            <w:r w:rsidRPr="00A3764D">
              <w:t>A modern standards PSA of sufficient scope to inform the design and demonstrate risks have been reduced ALARP is anticipated to be a key component of the final safety case submission provided by R</w:t>
            </w:r>
            <w:r w:rsidR="007504EB">
              <w:t>olls-</w:t>
            </w:r>
            <w:r w:rsidRPr="00A3764D">
              <w:t>R</w:t>
            </w:r>
            <w:r w:rsidR="007504EB">
              <w:t>oyce</w:t>
            </w:r>
            <w:r w:rsidRPr="00A3764D">
              <w:t xml:space="preserve"> SMR</w:t>
            </w:r>
            <w:r w:rsidR="007504EB">
              <w:t xml:space="preserve"> Ltd.</w:t>
            </w:r>
            <w:r w:rsidRPr="00A3764D">
              <w:t xml:space="preserve"> to achieve the standards required for a Design Acceptance Confirmation. However, the extant PSA development strategy does not provide sufficient details on what will be delivered in Step 3 of GDA to achieve this goal</w:t>
            </w:r>
            <w:r w:rsidR="007504EB">
              <w:t>.</w:t>
            </w:r>
            <w:r>
              <w:t xml:space="preserve"> </w:t>
            </w:r>
          </w:p>
          <w:p w14:paraId="3CF3507D" w14:textId="390A9E44" w:rsidR="00EC409B" w:rsidRPr="0048438C" w:rsidRDefault="00EC409B" w:rsidP="00DC1ADE">
            <w:pPr>
              <w:spacing w:before="60" w:after="60"/>
              <w:rPr>
                <w:szCs w:val="24"/>
                <w:highlight w:val="yellow"/>
              </w:rPr>
            </w:pPr>
          </w:p>
          <w:p w14:paraId="25806AA4" w14:textId="6EE0AECA" w:rsidR="000758E9" w:rsidRPr="0048438C" w:rsidRDefault="000758E9" w:rsidP="0048438C">
            <w:pPr>
              <w:spacing w:before="60" w:after="60"/>
              <w:rPr>
                <w:b/>
                <w:szCs w:val="24"/>
                <w:u w:val="single"/>
              </w:rPr>
            </w:pPr>
            <w:r w:rsidRPr="0048438C">
              <w:rPr>
                <w:b/>
                <w:szCs w:val="24"/>
                <w:u w:val="single"/>
              </w:rPr>
              <w:t>Relevant Legislation, Standards and Guidance</w:t>
            </w:r>
          </w:p>
          <w:p w14:paraId="0FDB40E3" w14:textId="1ADF8740" w:rsidR="00BB278D" w:rsidRDefault="00DD1DB9" w:rsidP="0048438C">
            <w:pPr>
              <w:spacing w:before="60" w:after="60"/>
            </w:pPr>
            <w:r>
              <w:t>The guidance provided in this RO is based on</w:t>
            </w:r>
            <w:r w:rsidR="00BB278D">
              <w:t xml:space="preserve"> the following international and national guidance</w:t>
            </w:r>
            <w:r w:rsidR="00932CE5">
              <w:t>:</w:t>
            </w:r>
          </w:p>
          <w:p w14:paraId="4F018E56" w14:textId="799F198F" w:rsidR="00BB278D" w:rsidRDefault="005F6D7A" w:rsidP="00A3764D">
            <w:pPr>
              <w:pStyle w:val="ListParagraph"/>
              <w:numPr>
                <w:ilvl w:val="0"/>
                <w:numId w:val="29"/>
              </w:numPr>
              <w:spacing w:before="120"/>
              <w:ind w:left="714" w:hanging="357"/>
              <w:contextualSpacing w:val="0"/>
            </w:pPr>
            <w:r>
              <w:t>IAEA</w:t>
            </w:r>
            <w:r w:rsidR="00847CCE">
              <w:t xml:space="preserve"> General Safety </w:t>
            </w:r>
            <w:r w:rsidR="007770CB">
              <w:t xml:space="preserve">Requirements Part 4 [3], </w:t>
            </w:r>
          </w:p>
          <w:p w14:paraId="080DFA6F" w14:textId="77777777" w:rsidR="00BB278D" w:rsidRDefault="007770CB" w:rsidP="00A3764D">
            <w:pPr>
              <w:pStyle w:val="ListParagraph"/>
              <w:numPr>
                <w:ilvl w:val="0"/>
                <w:numId w:val="29"/>
              </w:numPr>
              <w:spacing w:before="120"/>
              <w:ind w:left="714" w:hanging="357"/>
              <w:contextualSpacing w:val="0"/>
            </w:pPr>
            <w:r>
              <w:t xml:space="preserve">IAEA Specific Safety Requirements Part 2-1 [4], </w:t>
            </w:r>
          </w:p>
          <w:p w14:paraId="62214957" w14:textId="5012D827" w:rsidR="00BB278D" w:rsidRDefault="00BB278D" w:rsidP="00A3764D">
            <w:pPr>
              <w:pStyle w:val="ListParagraph"/>
              <w:numPr>
                <w:ilvl w:val="0"/>
                <w:numId w:val="29"/>
              </w:numPr>
              <w:spacing w:before="120"/>
              <w:ind w:left="714" w:hanging="357"/>
              <w:contextualSpacing w:val="0"/>
            </w:pPr>
            <w:r>
              <w:lastRenderedPageBreak/>
              <w:t>WENRA Safety Reference Levels</w:t>
            </w:r>
            <w:r w:rsidR="00542384">
              <w:t xml:space="preserve"> for Existing Reactors –</w:t>
            </w:r>
            <w:r>
              <w:t xml:space="preserve"> Part O</w:t>
            </w:r>
            <w:r w:rsidR="00542384">
              <w:t xml:space="preserve"> [5]</w:t>
            </w:r>
          </w:p>
          <w:p w14:paraId="6EAA6BF0" w14:textId="75186DF3" w:rsidR="00932CE5" w:rsidRDefault="00984B28" w:rsidP="00A3764D">
            <w:pPr>
              <w:pStyle w:val="ListParagraph"/>
              <w:numPr>
                <w:ilvl w:val="0"/>
                <w:numId w:val="29"/>
              </w:numPr>
              <w:spacing w:before="120"/>
              <w:ind w:left="714" w:hanging="357"/>
              <w:contextualSpacing w:val="0"/>
            </w:pPr>
            <w:r>
              <w:t xml:space="preserve">IAEA Specific Safety Guide 3 on Level 1 PSA </w:t>
            </w:r>
            <w:r w:rsidR="008208D7">
              <w:t>[</w:t>
            </w:r>
            <w:r w:rsidR="001E4D1A">
              <w:t>6</w:t>
            </w:r>
            <w:r w:rsidR="008208D7">
              <w:t>]</w:t>
            </w:r>
            <w:r>
              <w:t xml:space="preserve">, </w:t>
            </w:r>
          </w:p>
          <w:p w14:paraId="0FA6A914" w14:textId="7F6E37AE" w:rsidR="00932CE5" w:rsidRDefault="00DD1DB9" w:rsidP="00A3764D">
            <w:pPr>
              <w:pStyle w:val="ListParagraph"/>
              <w:numPr>
                <w:ilvl w:val="0"/>
                <w:numId w:val="29"/>
              </w:numPr>
              <w:spacing w:before="120"/>
              <w:ind w:left="714" w:hanging="357"/>
              <w:contextualSpacing w:val="0"/>
            </w:pPr>
            <w:r>
              <w:t>IAEA’s T</w:t>
            </w:r>
            <w:r w:rsidR="4A9AE22C">
              <w:t>EC</w:t>
            </w:r>
            <w:r>
              <w:t>D</w:t>
            </w:r>
            <w:r w:rsidR="31E83C93">
              <w:t>OC</w:t>
            </w:r>
            <w:r>
              <w:t xml:space="preserve"> </w:t>
            </w:r>
            <w:r w:rsidR="000B620F">
              <w:t>1854</w:t>
            </w:r>
            <w:r w:rsidR="00984B28">
              <w:t xml:space="preserve"> on attributes of PSA</w:t>
            </w:r>
            <w:r>
              <w:t xml:space="preserve"> </w:t>
            </w:r>
            <w:r w:rsidR="008208D7">
              <w:t>[</w:t>
            </w:r>
            <w:r w:rsidR="001E4D1A">
              <w:t>7</w:t>
            </w:r>
            <w:r w:rsidR="008208D7">
              <w:t>]</w:t>
            </w:r>
            <w:r>
              <w:t xml:space="preserve">, </w:t>
            </w:r>
          </w:p>
          <w:p w14:paraId="7492E77A" w14:textId="677C5A44" w:rsidR="00932CE5" w:rsidRDefault="00DD1DB9" w:rsidP="00A3764D">
            <w:pPr>
              <w:pStyle w:val="ListParagraph"/>
              <w:numPr>
                <w:ilvl w:val="0"/>
                <w:numId w:val="29"/>
              </w:numPr>
              <w:spacing w:before="120"/>
              <w:ind w:left="714" w:hanging="357"/>
              <w:contextualSpacing w:val="0"/>
            </w:pPr>
            <w:r>
              <w:t>ONR</w:t>
            </w:r>
            <w:r w:rsidR="00932CE5">
              <w:t>’s</w:t>
            </w:r>
            <w:r>
              <w:t xml:space="preserve"> S</w:t>
            </w:r>
            <w:r w:rsidR="00932CE5">
              <w:t xml:space="preserve">afety </w:t>
            </w:r>
            <w:r>
              <w:t>A</w:t>
            </w:r>
            <w:r w:rsidR="00932CE5">
              <w:t xml:space="preserve">ssessment </w:t>
            </w:r>
            <w:r>
              <w:t>P</w:t>
            </w:r>
            <w:r w:rsidR="00932CE5">
              <w:t>rinciple</w:t>
            </w:r>
            <w:r>
              <w:t xml:space="preserve">s </w:t>
            </w:r>
            <w:r w:rsidR="008208D7">
              <w:t>[</w:t>
            </w:r>
            <w:r w:rsidR="001E4D1A">
              <w:t>8</w:t>
            </w:r>
            <w:r w:rsidR="008208D7">
              <w:t>]</w:t>
            </w:r>
            <w:r>
              <w:t xml:space="preserve"> </w:t>
            </w:r>
          </w:p>
          <w:p w14:paraId="4A87D771" w14:textId="0F678803" w:rsidR="000758E9" w:rsidRDefault="00932CE5" w:rsidP="00A3764D">
            <w:pPr>
              <w:pStyle w:val="ListParagraph"/>
              <w:numPr>
                <w:ilvl w:val="0"/>
                <w:numId w:val="29"/>
              </w:numPr>
              <w:spacing w:before="120"/>
              <w:ind w:left="714" w:hanging="357"/>
              <w:contextualSpacing w:val="0"/>
            </w:pPr>
            <w:r>
              <w:t xml:space="preserve">ONR’s </w:t>
            </w:r>
            <w:r w:rsidR="00DD1DB9">
              <w:t>T</w:t>
            </w:r>
            <w:r>
              <w:t xml:space="preserve">echnical </w:t>
            </w:r>
            <w:r w:rsidR="00DD1DB9">
              <w:t>A</w:t>
            </w:r>
            <w:r>
              <w:t xml:space="preserve">ssessment </w:t>
            </w:r>
            <w:r w:rsidR="00DD1DB9">
              <w:t>G</w:t>
            </w:r>
            <w:r>
              <w:t>uide</w:t>
            </w:r>
            <w:r w:rsidR="00662919">
              <w:t xml:space="preserve"> on Probabilistic Safety Analysis</w:t>
            </w:r>
            <w:r w:rsidR="00DD1DB9">
              <w:t xml:space="preserve"> </w:t>
            </w:r>
            <w:r w:rsidR="008208D7">
              <w:t>[</w:t>
            </w:r>
            <w:r w:rsidR="001E4D1A">
              <w:t>9</w:t>
            </w:r>
            <w:r w:rsidR="008208D7">
              <w:t>]</w:t>
            </w:r>
            <w:r w:rsidR="00DD1DB9">
              <w:t xml:space="preserve">. </w:t>
            </w:r>
          </w:p>
          <w:p w14:paraId="4BE52E07" w14:textId="77777777" w:rsidR="00DD1DB9" w:rsidRPr="0048438C" w:rsidRDefault="00DD1DB9" w:rsidP="0048438C">
            <w:pPr>
              <w:spacing w:before="60" w:after="60"/>
              <w:rPr>
                <w:szCs w:val="24"/>
              </w:rPr>
            </w:pPr>
          </w:p>
          <w:p w14:paraId="268B2B85" w14:textId="2A98076B" w:rsidR="00CC67B6" w:rsidRPr="0048438C" w:rsidRDefault="00F65462" w:rsidP="0048438C">
            <w:pPr>
              <w:spacing w:before="60" w:after="60"/>
              <w:rPr>
                <w:b/>
                <w:szCs w:val="24"/>
                <w:u w:val="single"/>
              </w:rPr>
            </w:pPr>
            <w:r w:rsidRPr="0048438C">
              <w:rPr>
                <w:b/>
                <w:szCs w:val="24"/>
                <w:u w:val="single"/>
              </w:rPr>
              <w:t>Regulatory Expectations</w:t>
            </w:r>
          </w:p>
          <w:p w14:paraId="0F3EA5BE" w14:textId="77777777" w:rsidR="00EC7813" w:rsidRDefault="00EC7813" w:rsidP="0048438C">
            <w:pPr>
              <w:spacing w:before="60" w:after="60"/>
              <w:rPr>
                <w:szCs w:val="24"/>
              </w:rPr>
            </w:pPr>
          </w:p>
          <w:p w14:paraId="7400ABFE" w14:textId="7E83541C" w:rsidR="00EC7813" w:rsidRPr="00C4668F" w:rsidRDefault="00EC7813" w:rsidP="0048438C">
            <w:pPr>
              <w:spacing w:before="60" w:after="60"/>
              <w:rPr>
                <w:b/>
                <w:bCs/>
                <w:szCs w:val="24"/>
              </w:rPr>
            </w:pPr>
            <w:r w:rsidRPr="00C4668F">
              <w:rPr>
                <w:b/>
                <w:bCs/>
                <w:szCs w:val="24"/>
              </w:rPr>
              <w:t>Project Planning</w:t>
            </w:r>
          </w:p>
          <w:p w14:paraId="6B49AA64" w14:textId="77777777" w:rsidR="00EC7813" w:rsidRDefault="00EC7813" w:rsidP="0048438C">
            <w:pPr>
              <w:spacing w:before="60" w:after="60"/>
              <w:rPr>
                <w:szCs w:val="24"/>
              </w:rPr>
            </w:pPr>
          </w:p>
          <w:p w14:paraId="325D8503" w14:textId="2F46497B" w:rsidR="003546ED" w:rsidRDefault="00D80DFC" w:rsidP="0048438C">
            <w:pPr>
              <w:spacing w:before="60" w:after="60"/>
            </w:pPr>
            <w:r>
              <w:t>International expectations</w:t>
            </w:r>
            <w:r w:rsidR="00BC493F">
              <w:t xml:space="preserve"> [3]</w:t>
            </w:r>
            <w:r w:rsidR="00280930">
              <w:t xml:space="preserve"> </w:t>
            </w:r>
            <w:r w:rsidR="00421EF0">
              <w:t>[6]</w:t>
            </w:r>
            <w:r w:rsidR="00280930">
              <w:t xml:space="preserve"> </w:t>
            </w:r>
            <w:r w:rsidR="00FB2599">
              <w:t>[7]</w:t>
            </w:r>
            <w:r>
              <w:t xml:space="preserve"> and </w:t>
            </w:r>
            <w:r w:rsidR="00DD1DB9">
              <w:t>ONR</w:t>
            </w:r>
            <w:r>
              <w:t xml:space="preserve"> guidance</w:t>
            </w:r>
            <w:r w:rsidR="00FB2599">
              <w:t xml:space="preserve"> [9]</w:t>
            </w:r>
            <w:r w:rsidR="00DD1DB9">
              <w:t xml:space="preserve"> </w:t>
            </w:r>
            <w:r w:rsidR="00BC493F">
              <w:t>state</w:t>
            </w:r>
            <w:r w:rsidR="00DD1DB9">
              <w:t>s that a good quality PSA project plan is key to timely deliver</w:t>
            </w:r>
            <w:r w:rsidR="00697B3D">
              <w:t>y of</w:t>
            </w:r>
            <w:r w:rsidR="00DD1DB9">
              <w:t xml:space="preserve"> a </w:t>
            </w:r>
            <w:r w:rsidR="00BB0AA9">
              <w:t>high-quality</w:t>
            </w:r>
            <w:r w:rsidR="00DD1DB9">
              <w:t xml:space="preserve"> full scope PSA</w:t>
            </w:r>
            <w:r w:rsidR="00614F2A">
              <w:t xml:space="preserve">. </w:t>
            </w:r>
            <w:r w:rsidR="00052B23">
              <w:t>F</w:t>
            </w:r>
            <w:r w:rsidR="00DD1DB9">
              <w:t xml:space="preserve">or the </w:t>
            </w:r>
            <w:r w:rsidR="00D92FBA">
              <w:t>Rolls-Royce</w:t>
            </w:r>
            <w:r w:rsidR="00DD1DB9">
              <w:t xml:space="preserve"> SMR</w:t>
            </w:r>
            <w:r w:rsidR="005D1320">
              <w:t xml:space="preserve"> a high-quality full scope PSA</w:t>
            </w:r>
            <w:r w:rsidR="005D1320" w:rsidDel="005D1320">
              <w:t xml:space="preserve"> </w:t>
            </w:r>
            <w:r w:rsidR="00DD1DB9">
              <w:t>is essential for the completion of GDA. The objective of this R</w:t>
            </w:r>
            <w:r w:rsidR="00BB0AA9">
              <w:t xml:space="preserve">egulatory </w:t>
            </w:r>
            <w:r w:rsidR="00DD1DB9">
              <w:t>O</w:t>
            </w:r>
            <w:r w:rsidR="00BB0AA9">
              <w:t>bservation</w:t>
            </w:r>
            <w:r w:rsidR="00DD1DB9">
              <w:t xml:space="preserve"> is to state ONR’s expectations related to the development of the PSA for the </w:t>
            </w:r>
            <w:r w:rsidR="00D92FBA">
              <w:t>Rolls-Royce</w:t>
            </w:r>
            <w:r w:rsidR="00DD1DB9">
              <w:t xml:space="preserve"> SMR as part of the GDA submission. </w:t>
            </w:r>
          </w:p>
          <w:p w14:paraId="6ABAF72E" w14:textId="2E92BF5D" w:rsidR="003546ED" w:rsidRDefault="00D92FBA" w:rsidP="0048438C">
            <w:pPr>
              <w:spacing w:before="60" w:after="60"/>
            </w:pPr>
            <w:r>
              <w:t>Rolls-Royce</w:t>
            </w:r>
            <w:r w:rsidR="00DD1DB9">
              <w:t xml:space="preserve"> SMR Ltd</w:t>
            </w:r>
            <w:r>
              <w:t>.</w:t>
            </w:r>
            <w:r w:rsidR="00DD1DB9">
              <w:t xml:space="preserve"> should develop and deliver the </w:t>
            </w:r>
            <w:r>
              <w:t>Rolls-Royce</w:t>
            </w:r>
            <w:r w:rsidR="00DD1DB9">
              <w:t xml:space="preserve"> SMR PSA in accordance with a detailed programme, which should be reflected in the Project Plan requested in Action A1 of this RO, outlining specific PSA tasks required to be completed</w:t>
            </w:r>
            <w:r w:rsidR="00F9677A">
              <w:t xml:space="preserve">. The plan should include </w:t>
            </w:r>
            <w:r w:rsidR="00DD1DB9">
              <w:t>timings for</w:t>
            </w:r>
            <w:r w:rsidR="00F9677A">
              <w:t xml:space="preserve"> </w:t>
            </w:r>
            <w:r w:rsidR="00DD1DB9">
              <w:t>the deliverables</w:t>
            </w:r>
            <w:r w:rsidR="093FC75E">
              <w:t xml:space="preserve"> and the resources required to deliver them</w:t>
            </w:r>
            <w:r w:rsidR="003546ED">
              <w:t>.</w:t>
            </w:r>
            <w:r w:rsidR="00F9677A">
              <w:t xml:space="preserve"> </w:t>
            </w:r>
            <w:r w:rsidR="00203E07">
              <w:t>The PSA documentation should be delivered to ONR in a phased and logical manner in order to facilitate assessment. As many of the future applications as possible should be identified, as these will affect the approach to be used in the individual tasks.</w:t>
            </w:r>
          </w:p>
          <w:p w14:paraId="52BFC959" w14:textId="4589DCFB" w:rsidR="009A3F0D" w:rsidRDefault="009A3F0D" w:rsidP="0048438C">
            <w:pPr>
              <w:spacing w:before="60" w:after="60"/>
              <w:rPr>
                <w:szCs w:val="24"/>
              </w:rPr>
            </w:pPr>
            <w:r>
              <w:rPr>
                <w:szCs w:val="24"/>
              </w:rPr>
              <w:t>The PSA modelling and deliverables should be developed in accordance with</w:t>
            </w:r>
            <w:r w:rsidR="00006B05">
              <w:rPr>
                <w:szCs w:val="24"/>
              </w:rPr>
              <w:t xml:space="preserve"> Quality Assurance (</w:t>
            </w:r>
            <w:r>
              <w:rPr>
                <w:szCs w:val="24"/>
              </w:rPr>
              <w:t>QA</w:t>
            </w:r>
            <w:r w:rsidR="00006B05">
              <w:rPr>
                <w:szCs w:val="24"/>
              </w:rPr>
              <w:t>)</w:t>
            </w:r>
            <w:r w:rsidR="00B060D8">
              <w:rPr>
                <w:szCs w:val="24"/>
              </w:rPr>
              <w:t xml:space="preserve"> plans and procedures to </w:t>
            </w:r>
            <w:r w:rsidR="000F5F33">
              <w:rPr>
                <w:szCs w:val="24"/>
              </w:rPr>
              <w:t xml:space="preserve">ensure </w:t>
            </w:r>
            <w:r w:rsidR="006B6926">
              <w:rPr>
                <w:szCs w:val="24"/>
              </w:rPr>
              <w:t xml:space="preserve">that the PSA model and documentation </w:t>
            </w:r>
            <w:r w:rsidR="00366CD4">
              <w:rPr>
                <w:szCs w:val="24"/>
              </w:rPr>
              <w:t>is robust and of high quality</w:t>
            </w:r>
            <w:r w:rsidR="00E26A3C">
              <w:rPr>
                <w:szCs w:val="24"/>
              </w:rPr>
              <w:t xml:space="preserve">. </w:t>
            </w:r>
          </w:p>
          <w:p w14:paraId="00C87243" w14:textId="372A1915" w:rsidR="00676E79" w:rsidRDefault="00676E79" w:rsidP="0048438C">
            <w:pPr>
              <w:spacing w:before="60" w:after="60"/>
              <w:rPr>
                <w:szCs w:val="24"/>
              </w:rPr>
            </w:pPr>
            <w:r>
              <w:rPr>
                <w:szCs w:val="24"/>
              </w:rPr>
              <w:t xml:space="preserve">Actions </w:t>
            </w:r>
            <w:r w:rsidR="00182986">
              <w:rPr>
                <w:szCs w:val="24"/>
              </w:rPr>
              <w:t>A</w:t>
            </w:r>
            <w:r>
              <w:rPr>
                <w:szCs w:val="24"/>
              </w:rPr>
              <w:t>1</w:t>
            </w:r>
            <w:r w:rsidR="00655095">
              <w:rPr>
                <w:szCs w:val="24"/>
              </w:rPr>
              <w:t xml:space="preserve"> and</w:t>
            </w:r>
            <w:r>
              <w:rPr>
                <w:szCs w:val="24"/>
              </w:rPr>
              <w:t xml:space="preserve"> </w:t>
            </w:r>
            <w:r w:rsidR="00182986">
              <w:rPr>
                <w:szCs w:val="24"/>
              </w:rPr>
              <w:t>A</w:t>
            </w:r>
            <w:r>
              <w:rPr>
                <w:szCs w:val="24"/>
              </w:rPr>
              <w:t xml:space="preserve">2 below address these aspects. </w:t>
            </w:r>
          </w:p>
          <w:p w14:paraId="0A0DC0A4" w14:textId="77777777" w:rsidR="00676E79" w:rsidRDefault="00676E79" w:rsidP="0048438C">
            <w:pPr>
              <w:spacing w:before="60" w:after="60"/>
              <w:rPr>
                <w:szCs w:val="24"/>
              </w:rPr>
            </w:pPr>
          </w:p>
          <w:p w14:paraId="0DB95F70" w14:textId="4461BBE1" w:rsidR="00EC7813" w:rsidRPr="00C4668F" w:rsidRDefault="00BA18ED" w:rsidP="0048438C">
            <w:pPr>
              <w:spacing w:before="60" w:after="60"/>
              <w:rPr>
                <w:b/>
                <w:bCs/>
              </w:rPr>
            </w:pPr>
            <w:r w:rsidRPr="00C4668F">
              <w:rPr>
                <w:b/>
                <w:bCs/>
              </w:rPr>
              <w:t>PSA Integration with the wider project</w:t>
            </w:r>
          </w:p>
          <w:p w14:paraId="57AEE221" w14:textId="77777777" w:rsidR="00EC7813" w:rsidRDefault="00EC7813" w:rsidP="0048438C">
            <w:pPr>
              <w:spacing w:before="60" w:after="60"/>
            </w:pPr>
          </w:p>
          <w:p w14:paraId="20719107" w14:textId="5A657DF2" w:rsidR="00743678" w:rsidRDefault="0031372A" w:rsidP="0048438C">
            <w:pPr>
              <w:spacing w:before="60" w:after="60"/>
            </w:pPr>
            <w:r>
              <w:t xml:space="preserve">In accordance with </w:t>
            </w:r>
            <w:r w:rsidR="0043364B">
              <w:t>Safety Assessment Principle (</w:t>
            </w:r>
            <w:r>
              <w:t>SAP</w:t>
            </w:r>
            <w:r w:rsidR="0043364B">
              <w:t>)</w:t>
            </w:r>
            <w:r>
              <w:t xml:space="preserve"> FA.10</w:t>
            </w:r>
            <w:r w:rsidR="00381948">
              <w:t xml:space="preserve"> [8]</w:t>
            </w:r>
            <w:r>
              <w:t xml:space="preserve">, </w:t>
            </w:r>
            <w:r w:rsidR="00743678">
              <w:t xml:space="preserve">“Suitable and sufficient PSA should be performed as part of the fault analysis and design development and analysis”. </w:t>
            </w:r>
            <w:r w:rsidR="00555C1F">
              <w:t>In particular, the PSA TAG</w:t>
            </w:r>
            <w:r w:rsidR="00381948">
              <w:t xml:space="preserve"> [9]</w:t>
            </w:r>
            <w:r w:rsidR="00555C1F">
              <w:t xml:space="preserve"> states that a </w:t>
            </w:r>
            <w:r w:rsidR="0008079C">
              <w:t>“</w:t>
            </w:r>
            <w:r w:rsidR="00555C1F">
              <w:t>PSA should be suitable and sufficient to inform</w:t>
            </w:r>
            <w:r w:rsidR="00743678">
              <w:t xml:space="preserve"> </w:t>
            </w:r>
            <w:r w:rsidR="0008079C">
              <w:t>that the risks associated with the design and operation of the facility, as well as changes in risk associated with any modification to plant or operation, are and will remain ALARP”</w:t>
            </w:r>
            <w:r w:rsidR="00671297">
              <w:t>.</w:t>
            </w:r>
          </w:p>
          <w:p w14:paraId="53CBDF09" w14:textId="0621EDE4" w:rsidR="0008079C" w:rsidRPr="006A7F17" w:rsidRDefault="0008079C" w:rsidP="0048438C">
            <w:pPr>
              <w:spacing w:before="60" w:after="60"/>
            </w:pPr>
            <w:r>
              <w:t xml:space="preserve">In order for </w:t>
            </w:r>
            <w:r w:rsidR="00226852">
              <w:t>the PSA to be developed to this standard</w:t>
            </w:r>
            <w:r w:rsidR="00FE7FC3">
              <w:t>,</w:t>
            </w:r>
            <w:r w:rsidR="00226852">
              <w:t xml:space="preserve"> a set of inputs and outputs from the PSA </w:t>
            </w:r>
            <w:r w:rsidR="008D1793">
              <w:t>are required. The inputs are design info</w:t>
            </w:r>
            <w:r w:rsidR="008D1793" w:rsidRPr="006A7F17">
              <w:t>rmation</w:t>
            </w:r>
            <w:r w:rsidR="001B6F99" w:rsidRPr="006A7F17">
              <w:t xml:space="preserve"> and transient analysis from other disciplines within the project. The outputs are PSA results that can identify </w:t>
            </w:r>
            <w:r w:rsidR="008C4AFB" w:rsidRPr="006A7F17">
              <w:t xml:space="preserve">the </w:t>
            </w:r>
            <w:r w:rsidR="00366CD4" w:rsidRPr="006A7F17">
              <w:t xml:space="preserve">radiological </w:t>
            </w:r>
            <w:r w:rsidR="008C4AFB" w:rsidRPr="006A7F17">
              <w:t xml:space="preserve">risks associated with the design. </w:t>
            </w:r>
            <w:r w:rsidR="00363AD7" w:rsidRPr="006A7F17">
              <w:t>Once PSA results are available</w:t>
            </w:r>
            <w:r w:rsidR="008C4AFB" w:rsidRPr="006A7F17">
              <w:t xml:space="preserve"> </w:t>
            </w:r>
            <w:r w:rsidR="00D66839" w:rsidRPr="006A7F17">
              <w:t>the</w:t>
            </w:r>
            <w:r w:rsidR="00363AD7" w:rsidRPr="006A7F17">
              <w:t>y</w:t>
            </w:r>
            <w:r w:rsidR="00D66839" w:rsidRPr="006A7F17">
              <w:t xml:space="preserve"> can be fed back into the design</w:t>
            </w:r>
            <w:r w:rsidR="00AC6257" w:rsidRPr="006A7F17">
              <w:t xml:space="preserve"> process</w:t>
            </w:r>
            <w:r w:rsidR="00D66839" w:rsidRPr="006A7F17">
              <w:t xml:space="preserve"> to establish if these risks are ALARP</w:t>
            </w:r>
            <w:r w:rsidR="00014661" w:rsidRPr="006A7F17">
              <w:t>, if further analysis is required</w:t>
            </w:r>
            <w:r w:rsidR="00D66839" w:rsidRPr="006A7F17">
              <w:t xml:space="preserve"> or if further </w:t>
            </w:r>
            <w:r w:rsidR="00014661" w:rsidRPr="006A7F17">
              <w:t xml:space="preserve">safety </w:t>
            </w:r>
            <w:r w:rsidR="00D66839" w:rsidRPr="006A7F17">
              <w:t>improvements can be made</w:t>
            </w:r>
            <w:r w:rsidR="00014661" w:rsidRPr="006A7F17">
              <w:t xml:space="preserve"> to the design</w:t>
            </w:r>
            <w:r w:rsidR="00D66839" w:rsidRPr="006A7F17">
              <w:t xml:space="preserve">. </w:t>
            </w:r>
          </w:p>
          <w:p w14:paraId="29F3028D" w14:textId="3251B233" w:rsidR="00055DD5" w:rsidRDefault="00055DD5" w:rsidP="0048438C">
            <w:pPr>
              <w:spacing w:before="60" w:after="60"/>
            </w:pPr>
            <w:r w:rsidRPr="006A7F17">
              <w:lastRenderedPageBreak/>
              <w:t>Up to this point in</w:t>
            </w:r>
            <w:r w:rsidR="00F37644" w:rsidRPr="006A7F17">
              <w:t xml:space="preserve"> Step 2 of</w:t>
            </w:r>
            <w:r w:rsidRPr="006A7F17">
              <w:t xml:space="preserve"> the </w:t>
            </w:r>
            <w:r w:rsidR="00B7403C" w:rsidRPr="006A7F17">
              <w:t xml:space="preserve">Rolls-Royce SMR GDA </w:t>
            </w:r>
            <w:r w:rsidRPr="006A7F17">
              <w:t>it is not clear that</w:t>
            </w:r>
            <w:r>
              <w:t xml:space="preserve"> the PSA is sufficiently integrated into the </w:t>
            </w:r>
            <w:r w:rsidR="00D713A6">
              <w:t>safety case</w:t>
            </w:r>
            <w:r w:rsidR="004E555B">
              <w:t xml:space="preserve"> to ensure that the PSA team are receiving the inputs they require, nor that other </w:t>
            </w:r>
            <w:r w:rsidR="00D713A6">
              <w:t>aspects of the safety case</w:t>
            </w:r>
            <w:r w:rsidR="004E555B">
              <w:t xml:space="preserve"> are </w:t>
            </w:r>
            <w:r w:rsidR="00EC7813">
              <w:t>making use of the results that a PSA can provide.</w:t>
            </w:r>
          </w:p>
          <w:p w14:paraId="5C01E051" w14:textId="7B894D44" w:rsidR="00676E79" w:rsidRDefault="00676E79" w:rsidP="0048438C">
            <w:pPr>
              <w:spacing w:before="60" w:after="60"/>
              <w:rPr>
                <w:szCs w:val="24"/>
              </w:rPr>
            </w:pPr>
            <w:r>
              <w:rPr>
                <w:szCs w:val="24"/>
              </w:rPr>
              <w:t xml:space="preserve">Action </w:t>
            </w:r>
            <w:r w:rsidR="00182986">
              <w:rPr>
                <w:szCs w:val="24"/>
              </w:rPr>
              <w:t>A</w:t>
            </w:r>
            <w:r w:rsidR="00064745">
              <w:rPr>
                <w:szCs w:val="24"/>
              </w:rPr>
              <w:t>3</w:t>
            </w:r>
            <w:r>
              <w:rPr>
                <w:szCs w:val="24"/>
              </w:rPr>
              <w:t xml:space="preserve"> below addresses this aspect. </w:t>
            </w:r>
          </w:p>
          <w:p w14:paraId="2A31BE98" w14:textId="77777777" w:rsidR="00F9677A" w:rsidRDefault="00F9677A" w:rsidP="0048438C">
            <w:pPr>
              <w:spacing w:before="60" w:after="60"/>
              <w:rPr>
                <w:szCs w:val="24"/>
              </w:rPr>
            </w:pPr>
          </w:p>
          <w:p w14:paraId="5B8D28CD" w14:textId="175020D7" w:rsidR="00C4668F" w:rsidRDefault="00F9677A" w:rsidP="0048438C">
            <w:pPr>
              <w:spacing w:before="60" w:after="60"/>
            </w:pPr>
            <w:r>
              <w:t>In accordance with SAP FA.14</w:t>
            </w:r>
            <w:r w:rsidR="00F7003B">
              <w:t xml:space="preserve"> [8]</w:t>
            </w:r>
            <w:r>
              <w:t xml:space="preserve">, </w:t>
            </w:r>
            <w:r w:rsidR="00D518A2" w:rsidRPr="00D518A2">
              <w:t>PSA should be used to inform the design</w:t>
            </w:r>
            <w:r>
              <w:t xml:space="preserve"> process and help ensure the safe operation of the site and its facilities. Up to this point in the GDA it is not clear to ONR how the PSA is being used to risk inform the design. Whilst there is attendance</w:t>
            </w:r>
            <w:r w:rsidR="0093336B">
              <w:t xml:space="preserve"> from the RR SMR PSA team</w:t>
            </w:r>
            <w:r w:rsidR="00C56E84">
              <w:t xml:space="preserve"> and their sub-contractors</w:t>
            </w:r>
            <w:r>
              <w:t xml:space="preserve"> at design review meetings for systems reaching D</w:t>
            </w:r>
            <w:r w:rsidR="00ED1BDC">
              <w:t xml:space="preserve">esign </w:t>
            </w:r>
            <w:r>
              <w:t>R</w:t>
            </w:r>
            <w:r w:rsidR="00ED1BDC">
              <w:t xml:space="preserve">eference (DR) </w:t>
            </w:r>
            <w:r>
              <w:t>1 and DR3, the lack of a</w:t>
            </w:r>
            <w:r w:rsidR="00642618">
              <w:t>n up to date</w:t>
            </w:r>
            <w:r>
              <w:t xml:space="preserve"> PSA model means that the PSA team can only provide limited inputs to the process. </w:t>
            </w:r>
            <w:r w:rsidR="00F14E13">
              <w:t xml:space="preserve">There is a risk that </w:t>
            </w:r>
            <w:r w:rsidR="00D92FBA">
              <w:t>Rolls-Royce</w:t>
            </w:r>
            <w:r w:rsidR="00F14E13">
              <w:t xml:space="preserve"> SMR Ltd</w:t>
            </w:r>
            <w:r w:rsidR="00D92FBA">
              <w:t>.</w:t>
            </w:r>
            <w:r w:rsidR="00F14E13">
              <w:t xml:space="preserve"> continue to develop their design without adequate PSA </w:t>
            </w:r>
            <w:r w:rsidR="009B1117">
              <w:t xml:space="preserve">input. This could lead to an unbalanced design and design changes later in the process. </w:t>
            </w:r>
            <w:r w:rsidR="00D92FBA">
              <w:t>Rolls-Royce</w:t>
            </w:r>
            <w:r>
              <w:t xml:space="preserve"> SMR</w:t>
            </w:r>
            <w:r w:rsidR="00D92FBA">
              <w:t xml:space="preserve"> Ltd.</w:t>
            </w:r>
            <w:r>
              <w:t xml:space="preserve"> should establish how the PSA will be used to inform the design process as the design develops. </w:t>
            </w:r>
          </w:p>
          <w:p w14:paraId="377D63EB" w14:textId="304C4B19" w:rsidR="00D518A2" w:rsidRDefault="00676E79" w:rsidP="0048438C">
            <w:pPr>
              <w:spacing w:before="60" w:after="60"/>
              <w:rPr>
                <w:szCs w:val="24"/>
              </w:rPr>
            </w:pPr>
            <w:r>
              <w:t xml:space="preserve">Action </w:t>
            </w:r>
            <w:r w:rsidR="00182986">
              <w:t>A</w:t>
            </w:r>
            <w:r w:rsidR="00064745">
              <w:t>4</w:t>
            </w:r>
            <w:r>
              <w:t xml:space="preserve"> below </w:t>
            </w:r>
            <w:r w:rsidR="0020377D">
              <w:t xml:space="preserve">addresses </w:t>
            </w:r>
            <w:r>
              <w:t xml:space="preserve">this aspect. </w:t>
            </w:r>
          </w:p>
          <w:p w14:paraId="45C5C0F5" w14:textId="77777777" w:rsidR="00760106" w:rsidRPr="00DD1DB9" w:rsidRDefault="00760106" w:rsidP="0048438C">
            <w:pPr>
              <w:spacing w:before="60" w:after="60"/>
              <w:rPr>
                <w:szCs w:val="24"/>
              </w:rPr>
            </w:pPr>
          </w:p>
          <w:p w14:paraId="2993E5C2" w14:textId="77777777" w:rsidR="00EC409B" w:rsidRPr="0048438C" w:rsidRDefault="00EC409B" w:rsidP="0048438C">
            <w:pPr>
              <w:spacing w:before="60" w:after="60"/>
              <w:rPr>
                <w:b/>
                <w:szCs w:val="24"/>
                <w:u w:val="single"/>
              </w:rPr>
            </w:pPr>
            <w:r w:rsidRPr="0048438C">
              <w:rPr>
                <w:b/>
                <w:szCs w:val="24"/>
                <w:u w:val="single"/>
              </w:rPr>
              <w:t>References</w:t>
            </w:r>
          </w:p>
          <w:p w14:paraId="5CBB81C5" w14:textId="007755D6" w:rsidR="001F6603" w:rsidRDefault="001F6603" w:rsidP="006F0162">
            <w:pPr>
              <w:spacing w:before="120"/>
              <w:rPr>
                <w:szCs w:val="24"/>
              </w:rPr>
            </w:pPr>
            <w:r>
              <w:rPr>
                <w:szCs w:val="24"/>
              </w:rPr>
              <w:t xml:space="preserve">[1] </w:t>
            </w:r>
            <w:r w:rsidR="0034359D">
              <w:t xml:space="preserve">GDA Scope and Submission Plan for Probabilistic Safety Assessment, Rolls-Royce SMR Ltd., </w:t>
            </w:r>
            <w:r w:rsidR="00917B25">
              <w:t>Revision 1.0, December 2022, 2023/</w:t>
            </w:r>
            <w:r w:rsidR="009D700E">
              <w:t>7986</w:t>
            </w:r>
            <w:r w:rsidR="00917B25">
              <w:t>.</w:t>
            </w:r>
          </w:p>
          <w:p w14:paraId="4DB0E765" w14:textId="1165C014" w:rsidR="00982673" w:rsidRDefault="00982673" w:rsidP="006F0162">
            <w:pPr>
              <w:spacing w:before="120"/>
              <w:rPr>
                <w:szCs w:val="24"/>
              </w:rPr>
            </w:pPr>
            <w:r>
              <w:rPr>
                <w:szCs w:val="24"/>
              </w:rPr>
              <w:t>[</w:t>
            </w:r>
            <w:r w:rsidR="001F6603">
              <w:rPr>
                <w:szCs w:val="24"/>
              </w:rPr>
              <w:t>2</w:t>
            </w:r>
            <w:r>
              <w:rPr>
                <w:szCs w:val="24"/>
              </w:rPr>
              <w:t>] PSA Development Strategy</w:t>
            </w:r>
            <w:r w:rsidR="006013B0">
              <w:rPr>
                <w:szCs w:val="24"/>
              </w:rPr>
              <w:t>, Rolls-Royce SMR Ltd.</w:t>
            </w:r>
            <w:r w:rsidR="007D47E2">
              <w:rPr>
                <w:szCs w:val="24"/>
              </w:rPr>
              <w:t>,</w:t>
            </w:r>
            <w:r w:rsidR="006013B0">
              <w:rPr>
                <w:szCs w:val="24"/>
              </w:rPr>
              <w:t xml:space="preserve"> </w:t>
            </w:r>
            <w:r w:rsidR="007D47E2">
              <w:rPr>
                <w:szCs w:val="24"/>
              </w:rPr>
              <w:t xml:space="preserve">Revision 1, </w:t>
            </w:r>
            <w:r w:rsidR="006013B0">
              <w:rPr>
                <w:szCs w:val="24"/>
              </w:rPr>
              <w:t>March 2023</w:t>
            </w:r>
            <w:r w:rsidR="00E41754">
              <w:rPr>
                <w:szCs w:val="24"/>
              </w:rPr>
              <w:t>, 2023/20545.</w:t>
            </w:r>
          </w:p>
          <w:p w14:paraId="41272107" w14:textId="586B5F85" w:rsidR="00451FA9" w:rsidRDefault="00451FA9" w:rsidP="006F0162">
            <w:pPr>
              <w:spacing w:before="120"/>
            </w:pPr>
            <w:r>
              <w:rPr>
                <w:szCs w:val="24"/>
              </w:rPr>
              <w:t xml:space="preserve">[3] </w:t>
            </w:r>
            <w:r w:rsidR="003C05B4" w:rsidRPr="003C05B4">
              <w:t xml:space="preserve">IAEA Safety Standards, Safety Assessment for Facilities and Activities, General Safety Requirements No. GSR Part 4 (Rev. 1). </w:t>
            </w:r>
            <w:hyperlink r:id="rId12" w:history="1">
              <w:r w:rsidR="003C05B4" w:rsidRPr="003C05B4">
                <w:rPr>
                  <w:rStyle w:val="Hyperlink"/>
                </w:rPr>
                <w:t>www.iaea.org</w:t>
              </w:r>
            </w:hyperlink>
          </w:p>
          <w:p w14:paraId="3C26ED5C" w14:textId="67E23092" w:rsidR="00FE65CA" w:rsidRDefault="00FE65CA" w:rsidP="006F0162">
            <w:pPr>
              <w:spacing w:before="120"/>
            </w:pPr>
            <w:r>
              <w:t xml:space="preserve">[4] IAEA </w:t>
            </w:r>
            <w:r w:rsidR="008D28A8">
              <w:t xml:space="preserve">Safety Standards, </w:t>
            </w:r>
            <w:r>
              <w:t xml:space="preserve">Specific Safety Requirements </w:t>
            </w:r>
            <w:r w:rsidR="009935C4">
              <w:t xml:space="preserve">No. SSR-2/1 (Rev. 1) </w:t>
            </w:r>
            <w:r>
              <w:t>Part 2-1</w:t>
            </w:r>
            <w:r w:rsidR="002911EE">
              <w:t>,</w:t>
            </w:r>
            <w:r w:rsidR="00317144">
              <w:t xml:space="preserve"> </w:t>
            </w:r>
            <w:hyperlink r:id="rId13" w:history="1">
              <w:r w:rsidR="00317144" w:rsidRPr="003C05B4">
                <w:rPr>
                  <w:rStyle w:val="Hyperlink"/>
                </w:rPr>
                <w:t>www.iaea.org</w:t>
              </w:r>
            </w:hyperlink>
          </w:p>
          <w:p w14:paraId="20E5F1EF" w14:textId="050A08E5" w:rsidR="00FF723F" w:rsidRDefault="001B77A2" w:rsidP="006F0162">
            <w:pPr>
              <w:spacing w:before="120"/>
              <w:rPr>
                <w:szCs w:val="24"/>
              </w:rPr>
            </w:pPr>
            <w:r>
              <w:rPr>
                <w:szCs w:val="24"/>
              </w:rPr>
              <w:t xml:space="preserve">[5] </w:t>
            </w:r>
            <w:r w:rsidRPr="001B77A2">
              <w:rPr>
                <w:szCs w:val="24"/>
              </w:rPr>
              <w:t xml:space="preserve">WENRA Safety Reference Levels for Existing Reactors 2020, February 2021. </w:t>
            </w:r>
            <w:hyperlink r:id="rId14" w:history="1">
              <w:r w:rsidRPr="001B77A2">
                <w:rPr>
                  <w:rStyle w:val="Hyperlink"/>
                  <w:szCs w:val="24"/>
                </w:rPr>
                <w:t>www.wenra.eu</w:t>
              </w:r>
            </w:hyperlink>
          </w:p>
          <w:p w14:paraId="63F522D7" w14:textId="7D2B77C7" w:rsidR="00984B28" w:rsidRDefault="00984B28" w:rsidP="006F0162">
            <w:pPr>
              <w:spacing w:before="120"/>
              <w:rPr>
                <w:szCs w:val="24"/>
              </w:rPr>
            </w:pPr>
            <w:r>
              <w:rPr>
                <w:szCs w:val="24"/>
              </w:rPr>
              <w:t>[</w:t>
            </w:r>
            <w:r w:rsidR="001B77A2">
              <w:rPr>
                <w:szCs w:val="24"/>
              </w:rPr>
              <w:t>6</w:t>
            </w:r>
            <w:r>
              <w:rPr>
                <w:szCs w:val="24"/>
              </w:rPr>
              <w:t xml:space="preserve">] </w:t>
            </w:r>
            <w:r w:rsidR="00317144">
              <w:t>IAEA Safety Standards,</w:t>
            </w:r>
            <w:r>
              <w:rPr>
                <w:szCs w:val="24"/>
              </w:rPr>
              <w:t xml:space="preserve"> Specific Safety Guide 3 – </w:t>
            </w:r>
            <w:r w:rsidR="005D2AA4">
              <w:t xml:space="preserve">Development and Application of Level 1 Probabilistic Safety Assessment for Nuclear Power Plants, </w:t>
            </w:r>
            <w:r w:rsidR="00DC0F8D">
              <w:t>2010.</w:t>
            </w:r>
            <w:r w:rsidR="00317144">
              <w:t xml:space="preserve"> </w:t>
            </w:r>
            <w:hyperlink r:id="rId15" w:history="1">
              <w:r w:rsidR="00317144" w:rsidRPr="003C05B4">
                <w:rPr>
                  <w:rStyle w:val="Hyperlink"/>
                </w:rPr>
                <w:t>www.iaea.org</w:t>
              </w:r>
            </w:hyperlink>
          </w:p>
          <w:p w14:paraId="544E0E1D" w14:textId="66FA6C01" w:rsidR="003546ED" w:rsidRDefault="00EC409B" w:rsidP="006F0162">
            <w:pPr>
              <w:spacing w:before="120"/>
            </w:pPr>
            <w:r w:rsidRPr="0048438C">
              <w:rPr>
                <w:szCs w:val="24"/>
              </w:rPr>
              <w:t>[</w:t>
            </w:r>
            <w:r w:rsidR="001B77A2">
              <w:rPr>
                <w:szCs w:val="24"/>
              </w:rPr>
              <w:t>7</w:t>
            </w:r>
            <w:r w:rsidRPr="0048438C">
              <w:rPr>
                <w:szCs w:val="24"/>
              </w:rPr>
              <w:t xml:space="preserve">] </w:t>
            </w:r>
            <w:r w:rsidR="00C91732">
              <w:rPr>
                <w:szCs w:val="24"/>
              </w:rPr>
              <w:t xml:space="preserve">IAEA-TECDOC-1804, </w:t>
            </w:r>
            <w:r w:rsidR="00C91732">
              <w:t>Attributes of Full Scope Level 1 Probabilistic Safety Assessment (PSA) For Applications In Nuclear Power Plants</w:t>
            </w:r>
            <w:r w:rsidR="005C1394">
              <w:t>, October 2016</w:t>
            </w:r>
            <w:r w:rsidR="00DC0F8D">
              <w:t>.</w:t>
            </w:r>
            <w:r w:rsidR="00317144" w:rsidRPr="003C05B4">
              <w:t xml:space="preserve"> </w:t>
            </w:r>
            <w:hyperlink r:id="rId16" w:history="1">
              <w:r w:rsidR="00317144" w:rsidRPr="003C05B4">
                <w:rPr>
                  <w:rStyle w:val="Hyperlink"/>
                </w:rPr>
                <w:t>www.iaea.org</w:t>
              </w:r>
            </w:hyperlink>
          </w:p>
          <w:p w14:paraId="518063A6" w14:textId="248C3F85" w:rsidR="003546ED" w:rsidRDefault="003546ED" w:rsidP="006F0162">
            <w:pPr>
              <w:spacing w:before="120"/>
            </w:pPr>
            <w:r>
              <w:t>[</w:t>
            </w:r>
            <w:r w:rsidR="001B77A2">
              <w:t>8</w:t>
            </w:r>
            <w:r>
              <w:t>] Safety Assessment Principles for Nuclear Facilities</w:t>
            </w:r>
            <w:r w:rsidR="005A3886">
              <w:t>,</w:t>
            </w:r>
            <w:r>
              <w:t xml:space="preserve"> Revision 1</w:t>
            </w:r>
            <w:r w:rsidR="005A3886">
              <w:t>,</w:t>
            </w:r>
            <w:r>
              <w:t xml:space="preserve"> January 2020</w:t>
            </w:r>
            <w:r w:rsidR="00EB54C7">
              <w:t>,</w:t>
            </w:r>
            <w:r>
              <w:t xml:space="preserve"> </w:t>
            </w:r>
            <w:r w:rsidRPr="00CF529B">
              <w:rPr>
                <w:rStyle w:val="Hyperlink"/>
              </w:rPr>
              <w:t>www.onr.gov.uk/SAPS/index.htm</w:t>
            </w:r>
            <w:r>
              <w:t xml:space="preserve"> </w:t>
            </w:r>
          </w:p>
          <w:p w14:paraId="457BAD79" w14:textId="2ECBBD07" w:rsidR="003546ED" w:rsidRDefault="003546ED" w:rsidP="006F0162">
            <w:pPr>
              <w:spacing w:before="120"/>
            </w:pPr>
            <w:r>
              <w:t>[</w:t>
            </w:r>
            <w:r w:rsidR="001B77A2">
              <w:t>9</w:t>
            </w:r>
            <w:r>
              <w:t>] Technical Assessment Guides. Probabilistic Safety Analysis NS-TAST-GD-030 Revision 7, ONR, June 2019.</w:t>
            </w:r>
            <w:r w:rsidR="005C43F5">
              <w:t xml:space="preserve"> </w:t>
            </w:r>
            <w:hyperlink r:id="rId17" w:history="1">
              <w:r w:rsidR="00EF4C32">
                <w:rPr>
                  <w:rStyle w:val="Hyperlink"/>
                </w:rPr>
                <w:t>www.onr.org.uk/operational/tech_asst_guides/index.htm</w:t>
              </w:r>
            </w:hyperlink>
          </w:p>
          <w:p w14:paraId="31F16BF0" w14:textId="77777777" w:rsidR="00F65462" w:rsidRDefault="00F65462" w:rsidP="0048438C">
            <w:pPr>
              <w:spacing w:before="60" w:after="60"/>
              <w:rPr>
                <w:szCs w:val="24"/>
              </w:rPr>
            </w:pPr>
          </w:p>
          <w:p w14:paraId="7FCF4B91" w14:textId="77777777" w:rsidR="00AB62E7" w:rsidRDefault="00AB62E7" w:rsidP="0048438C">
            <w:pPr>
              <w:spacing w:before="60" w:after="60"/>
              <w:rPr>
                <w:szCs w:val="24"/>
              </w:rPr>
            </w:pPr>
          </w:p>
          <w:p w14:paraId="4573E048" w14:textId="15C69F05" w:rsidR="00AB62E7" w:rsidRPr="0048438C" w:rsidRDefault="00AB62E7" w:rsidP="0048438C">
            <w:pPr>
              <w:spacing w:before="60" w:after="60"/>
              <w:rPr>
                <w:szCs w:val="24"/>
              </w:rPr>
            </w:pPr>
          </w:p>
        </w:tc>
      </w:tr>
      <w:tr w:rsidR="00850471" w:rsidRPr="00581D5B" w14:paraId="4573E04B" w14:textId="77777777" w:rsidTr="22D1F31A">
        <w:tc>
          <w:tcPr>
            <w:tcW w:w="9897" w:type="dxa"/>
            <w:gridSpan w:val="2"/>
            <w:shd w:val="clear" w:color="auto" w:fill="D9D9D9" w:themeFill="background1" w:themeFillShade="D9"/>
          </w:tcPr>
          <w:p w14:paraId="4573E04A" w14:textId="6BD52BAF" w:rsidR="00850471" w:rsidRPr="00581D5B" w:rsidRDefault="00581D5B" w:rsidP="0048438C">
            <w:pPr>
              <w:spacing w:before="60" w:after="60"/>
              <w:rPr>
                <w:b/>
                <w:iCs/>
                <w:szCs w:val="24"/>
              </w:rPr>
            </w:pPr>
            <w:r w:rsidRPr="00581D5B">
              <w:rPr>
                <w:b/>
                <w:iCs/>
                <w:szCs w:val="24"/>
              </w:rPr>
              <w:lastRenderedPageBreak/>
              <w:t>REGULATORY OBSERVATION ACTIONS</w:t>
            </w:r>
          </w:p>
        </w:tc>
      </w:tr>
      <w:tr w:rsidR="00BF40F7" w:rsidRPr="0048438C" w14:paraId="4573E04E" w14:textId="77777777" w:rsidTr="22D1F31A">
        <w:trPr>
          <w:trHeight w:val="907"/>
        </w:trPr>
        <w:tc>
          <w:tcPr>
            <w:tcW w:w="9897" w:type="dxa"/>
            <w:gridSpan w:val="2"/>
            <w:shd w:val="clear" w:color="auto" w:fill="auto"/>
          </w:tcPr>
          <w:p w14:paraId="4573E04C" w14:textId="2EA8E205" w:rsidR="00850471" w:rsidRPr="0048438C" w:rsidRDefault="00850471" w:rsidP="0048438C">
            <w:pPr>
              <w:spacing w:before="60" w:after="60"/>
              <w:rPr>
                <w:b/>
                <w:noProof/>
                <w:szCs w:val="24"/>
              </w:rPr>
            </w:pPr>
            <w:r w:rsidRPr="0048438C">
              <w:rPr>
                <w:b/>
                <w:noProof/>
                <w:szCs w:val="24"/>
              </w:rPr>
              <w:t>RO-</w:t>
            </w:r>
            <w:r w:rsidR="00581D5B">
              <w:rPr>
                <w:b/>
                <w:noProof/>
                <w:szCs w:val="24"/>
              </w:rPr>
              <w:t>RRSMR</w:t>
            </w:r>
            <w:r w:rsidRPr="0048438C">
              <w:rPr>
                <w:b/>
                <w:noProof/>
                <w:szCs w:val="24"/>
              </w:rPr>
              <w:t>-</w:t>
            </w:r>
            <w:r w:rsidR="003546ED">
              <w:rPr>
                <w:b/>
                <w:noProof/>
                <w:szCs w:val="24"/>
              </w:rPr>
              <w:t>002</w:t>
            </w:r>
            <w:r w:rsidRPr="0048438C">
              <w:rPr>
                <w:b/>
                <w:noProof/>
                <w:szCs w:val="24"/>
              </w:rPr>
              <w:t>.A1</w:t>
            </w:r>
            <w:r w:rsidR="000977CC" w:rsidRPr="0048438C">
              <w:rPr>
                <w:b/>
                <w:noProof/>
                <w:szCs w:val="24"/>
              </w:rPr>
              <w:t xml:space="preserve"> –</w:t>
            </w:r>
            <w:r w:rsidR="006F0162">
              <w:rPr>
                <w:b/>
                <w:noProof/>
                <w:szCs w:val="24"/>
              </w:rPr>
              <w:t xml:space="preserve"> </w:t>
            </w:r>
            <w:r w:rsidR="003546ED" w:rsidRPr="003546ED">
              <w:rPr>
                <w:b/>
                <w:noProof/>
                <w:szCs w:val="24"/>
              </w:rPr>
              <w:t>PSA Project Plan</w:t>
            </w:r>
          </w:p>
          <w:p w14:paraId="7BE7FFFB" w14:textId="77777777" w:rsidR="00CC67B6" w:rsidRPr="0048438C" w:rsidRDefault="00CC67B6" w:rsidP="0048438C">
            <w:pPr>
              <w:spacing w:before="60" w:after="60"/>
              <w:rPr>
                <w:noProof/>
                <w:szCs w:val="24"/>
              </w:rPr>
            </w:pPr>
          </w:p>
          <w:p w14:paraId="2DCB501B" w14:textId="1CE8282B" w:rsidR="00875755" w:rsidRPr="0048438C" w:rsidRDefault="00875755" w:rsidP="0048438C">
            <w:pPr>
              <w:spacing w:before="60" w:after="60"/>
              <w:rPr>
                <w:noProof/>
                <w:szCs w:val="24"/>
                <w:highlight w:val="yellow"/>
              </w:rPr>
            </w:pPr>
            <w:r w:rsidRPr="0048438C">
              <w:rPr>
                <w:noProof/>
                <w:szCs w:val="24"/>
              </w:rPr>
              <w:t xml:space="preserve">In response to this Regulatory Observation Action, </w:t>
            </w:r>
            <w:r w:rsidR="00581D5B">
              <w:rPr>
                <w:noProof/>
                <w:szCs w:val="24"/>
              </w:rPr>
              <w:t xml:space="preserve">Rolls-Royce SMR </w:t>
            </w:r>
            <w:r w:rsidR="007A5ECD">
              <w:rPr>
                <w:noProof/>
                <w:szCs w:val="24"/>
              </w:rPr>
              <w:t>Ltd</w:t>
            </w:r>
            <w:r w:rsidRPr="0048438C">
              <w:rPr>
                <w:noProof/>
                <w:szCs w:val="24"/>
              </w:rPr>
              <w:t xml:space="preserve"> should:</w:t>
            </w:r>
          </w:p>
          <w:p w14:paraId="20AA25FA" w14:textId="0B65A9E3" w:rsidR="003C7579" w:rsidRDefault="003C7579" w:rsidP="0048438C">
            <w:pPr>
              <w:spacing w:before="60" w:after="60"/>
              <w:rPr>
                <w:noProof/>
                <w:szCs w:val="24"/>
                <w:highlight w:val="yellow"/>
              </w:rPr>
            </w:pPr>
          </w:p>
          <w:p w14:paraId="0C9A9B98" w14:textId="342F93C9" w:rsidR="003546ED" w:rsidRDefault="000149E8" w:rsidP="00CF529B">
            <w:pPr>
              <w:pStyle w:val="ListParagraph"/>
              <w:numPr>
                <w:ilvl w:val="0"/>
                <w:numId w:val="29"/>
              </w:numPr>
              <w:spacing w:before="120"/>
              <w:ind w:left="714" w:hanging="357"/>
              <w:contextualSpacing w:val="0"/>
            </w:pPr>
            <w:r>
              <w:t>P</w:t>
            </w:r>
            <w:r w:rsidR="003546ED">
              <w:t xml:space="preserve">rovide a </w:t>
            </w:r>
            <w:r w:rsidR="00D92FBA">
              <w:t>Rolls-Royce</w:t>
            </w:r>
            <w:r w:rsidR="003546ED">
              <w:t xml:space="preserve"> SMR PSA project plan to cover GDA. This should include the following:</w:t>
            </w:r>
          </w:p>
          <w:p w14:paraId="0D54ADC5" w14:textId="46DBA17C" w:rsidR="00D37AA5" w:rsidRDefault="00D37AA5" w:rsidP="00CF529B">
            <w:pPr>
              <w:pStyle w:val="ListParagraph"/>
              <w:numPr>
                <w:ilvl w:val="1"/>
                <w:numId w:val="29"/>
              </w:numPr>
              <w:spacing w:before="120"/>
              <w:contextualSpacing w:val="0"/>
            </w:pPr>
            <w:r>
              <w:t xml:space="preserve">A detailed scope for the </w:t>
            </w:r>
            <w:r w:rsidR="00545A31">
              <w:t>P</w:t>
            </w:r>
            <w:r w:rsidR="00D00C44" w:rsidRPr="00D00C44">
              <w:t>SA for the totality of the three step GDA it has asked the regulators to undertake, including a clear statement</w:t>
            </w:r>
            <w:r w:rsidR="004D3B01">
              <w:t xml:space="preserve"> of any exclusions</w:t>
            </w:r>
            <w:r w:rsidR="00733A3D">
              <w:t>,</w:t>
            </w:r>
            <w:r w:rsidR="00D55854">
              <w:t xml:space="preserve"> including aspects that would be developed </w:t>
            </w:r>
            <w:r w:rsidR="00E165FD">
              <w:t>post-GDA</w:t>
            </w:r>
            <w:r w:rsidR="004D3B01">
              <w:t xml:space="preserve">. </w:t>
            </w:r>
          </w:p>
          <w:p w14:paraId="224FC517" w14:textId="6FC901BD" w:rsidR="003546ED" w:rsidRDefault="003546ED" w:rsidP="00CF529B">
            <w:pPr>
              <w:pStyle w:val="ListParagraph"/>
              <w:numPr>
                <w:ilvl w:val="1"/>
                <w:numId w:val="29"/>
              </w:numPr>
              <w:spacing w:before="120"/>
              <w:contextualSpacing w:val="0"/>
            </w:pPr>
            <w:r>
              <w:t xml:space="preserve">A complete list of the PSA objectives, applications and definition of the requirements of the PSA to fulfil these. </w:t>
            </w:r>
          </w:p>
          <w:p w14:paraId="6948BB4A" w14:textId="5FE15B98" w:rsidR="003546ED" w:rsidRDefault="003546ED" w:rsidP="00CF529B">
            <w:pPr>
              <w:pStyle w:val="ListParagraph"/>
              <w:numPr>
                <w:ilvl w:val="1"/>
                <w:numId w:val="29"/>
              </w:numPr>
              <w:spacing w:before="120"/>
              <w:contextualSpacing w:val="0"/>
            </w:pPr>
            <w:r>
              <w:t>The identification and justification of the computer code(s) that will be used for the Level 1</w:t>
            </w:r>
            <w:r w:rsidR="007476B0">
              <w:t>,</w:t>
            </w:r>
            <w:r>
              <w:t xml:space="preserve"> Level 2</w:t>
            </w:r>
            <w:r w:rsidR="00EB28B2">
              <w:t xml:space="preserve"> and Level 3 PSA</w:t>
            </w:r>
            <w:r>
              <w:t xml:space="preserve"> </w:t>
            </w:r>
            <w:r w:rsidR="00D92FBA">
              <w:t>Rolls-Royce</w:t>
            </w:r>
            <w:r>
              <w:t xml:space="preserve"> SMR PSA (including supporting calculations). </w:t>
            </w:r>
          </w:p>
          <w:p w14:paraId="2737110F" w14:textId="77777777" w:rsidR="002564C7" w:rsidRDefault="002564C7" w:rsidP="00CF529B">
            <w:pPr>
              <w:pStyle w:val="ListParagraph"/>
              <w:numPr>
                <w:ilvl w:val="1"/>
                <w:numId w:val="29"/>
              </w:numPr>
              <w:spacing w:before="120"/>
              <w:contextualSpacing w:val="0"/>
            </w:pPr>
            <w:r>
              <w:t>Clarity on the expected scope of the hazards PSA, including how PSA hazards screening will inform the rest of the hazards scope of work.</w:t>
            </w:r>
          </w:p>
          <w:p w14:paraId="64CA8F0D" w14:textId="6EDF4FA2" w:rsidR="00881A66" w:rsidRDefault="00881A66" w:rsidP="00CF529B">
            <w:pPr>
              <w:pStyle w:val="ListParagraph"/>
              <w:numPr>
                <w:ilvl w:val="1"/>
                <w:numId w:val="29"/>
              </w:numPr>
              <w:spacing w:before="120"/>
              <w:contextualSpacing w:val="0"/>
            </w:pPr>
            <w:r>
              <w:t xml:space="preserve">Clarity on </w:t>
            </w:r>
            <w:r w:rsidR="00E82A32">
              <w:t xml:space="preserve">how </w:t>
            </w:r>
            <w:r w:rsidR="00E82A32" w:rsidRPr="00DB5FD8">
              <w:t>the radiological risks to on-site workers will be evaluated</w:t>
            </w:r>
            <w:r w:rsidR="00014661">
              <w:t>.</w:t>
            </w:r>
          </w:p>
          <w:p w14:paraId="0B8BA9F8" w14:textId="3C92743B" w:rsidR="00E82A32" w:rsidRDefault="00E82A32" w:rsidP="00CF529B">
            <w:pPr>
              <w:pStyle w:val="ListParagraph"/>
              <w:numPr>
                <w:ilvl w:val="1"/>
                <w:numId w:val="29"/>
              </w:numPr>
              <w:spacing w:before="120"/>
              <w:contextualSpacing w:val="0"/>
            </w:pPr>
            <w:r>
              <w:t xml:space="preserve">Clarity on </w:t>
            </w:r>
            <w:r w:rsidR="00DF577C">
              <w:t xml:space="preserve">which </w:t>
            </w:r>
            <w:r w:rsidRPr="00B13418">
              <w:t>radioactiv</w:t>
            </w:r>
            <w:r w:rsidR="009F286C">
              <w:t>e materials</w:t>
            </w:r>
            <w:r w:rsidR="00686E72">
              <w:t xml:space="preserve"> (e.g. nuclear fuel, nuclear waste etc.)</w:t>
            </w:r>
            <w:r w:rsidR="009F286C">
              <w:t xml:space="preserve"> and locations</w:t>
            </w:r>
            <w:r w:rsidR="00686E72">
              <w:t xml:space="preserve"> (</w:t>
            </w:r>
            <w:r w:rsidR="0080487A">
              <w:t xml:space="preserve">reactor, </w:t>
            </w:r>
            <w:r w:rsidR="00686E72">
              <w:t>fuel handling, fuel storage etc.)</w:t>
            </w:r>
            <w:r w:rsidR="00DF577C">
              <w:t xml:space="preserve"> will be </w:t>
            </w:r>
            <w:r w:rsidR="00070E0C">
              <w:t>considered in the PSA</w:t>
            </w:r>
            <w:r w:rsidR="00014661">
              <w:t>.</w:t>
            </w:r>
          </w:p>
          <w:p w14:paraId="2645E35C" w14:textId="77777777" w:rsidR="003546ED" w:rsidRDefault="003546ED" w:rsidP="00CF529B">
            <w:pPr>
              <w:pStyle w:val="ListParagraph"/>
              <w:numPr>
                <w:ilvl w:val="1"/>
                <w:numId w:val="29"/>
              </w:numPr>
              <w:spacing w:before="120"/>
              <w:contextualSpacing w:val="0"/>
            </w:pPr>
            <w:r>
              <w:t xml:space="preserve">Definition of the PSA tasks required to be completed during GDA (including the tasks already completed or ongoing). </w:t>
            </w:r>
          </w:p>
          <w:p w14:paraId="622FF791" w14:textId="47A53789" w:rsidR="003546ED" w:rsidRDefault="003546ED" w:rsidP="00CF529B">
            <w:pPr>
              <w:pStyle w:val="ListParagraph"/>
              <w:numPr>
                <w:ilvl w:val="1"/>
                <w:numId w:val="29"/>
              </w:numPr>
              <w:spacing w:before="120"/>
              <w:contextualSpacing w:val="0"/>
            </w:pPr>
            <w:r>
              <w:t>Identification of the various procedures</w:t>
            </w:r>
            <w:r w:rsidR="00D92EEA">
              <w:t>, PSA models</w:t>
            </w:r>
            <w:r>
              <w:t xml:space="preserve"> and reports which will be produced or updated during the development of the </w:t>
            </w:r>
            <w:r w:rsidR="00D92FBA">
              <w:t>Rolls-Royce</w:t>
            </w:r>
            <w:r>
              <w:t xml:space="preserve"> SMR PSA, for all the PSA tasks and PSA applications. </w:t>
            </w:r>
          </w:p>
          <w:p w14:paraId="15EDBCA6" w14:textId="2EAEDC8F" w:rsidR="00F27448" w:rsidRDefault="003546ED" w:rsidP="00CF529B">
            <w:pPr>
              <w:pStyle w:val="ListParagraph"/>
              <w:numPr>
                <w:ilvl w:val="1"/>
                <w:numId w:val="29"/>
              </w:numPr>
              <w:spacing w:before="120"/>
              <w:contextualSpacing w:val="0"/>
            </w:pPr>
            <w:r>
              <w:t xml:space="preserve">A detailed work programme including all planned deliverables. </w:t>
            </w:r>
            <w:r w:rsidR="007060D1">
              <w:t xml:space="preserve">This should identify which design reference points </w:t>
            </w:r>
            <w:r w:rsidR="00760106">
              <w:t xml:space="preserve">(DRP) </w:t>
            </w:r>
            <w:r w:rsidR="007060D1">
              <w:t xml:space="preserve">will be modelled </w:t>
            </w:r>
            <w:r w:rsidR="00516817">
              <w:t xml:space="preserve">and how any gap between the </w:t>
            </w:r>
            <w:r w:rsidR="00784D8A">
              <w:t xml:space="preserve">final GDA </w:t>
            </w:r>
            <w:r w:rsidR="00516817">
              <w:t xml:space="preserve">DRP and the final </w:t>
            </w:r>
            <w:r w:rsidR="00784D8A">
              <w:t xml:space="preserve">GDA </w:t>
            </w:r>
            <w:r w:rsidR="00516817">
              <w:t>PSA will be managed</w:t>
            </w:r>
            <w:r w:rsidR="00784D8A">
              <w:t>.</w:t>
            </w:r>
            <w:r w:rsidR="00AF2F01">
              <w:t xml:space="preserve"> The </w:t>
            </w:r>
            <w:r w:rsidR="00C643D8">
              <w:t xml:space="preserve">human </w:t>
            </w:r>
            <w:r w:rsidR="00AF2F01">
              <w:t xml:space="preserve">resources required to deliver this programme should also be identified. </w:t>
            </w:r>
          </w:p>
          <w:p w14:paraId="7ED6C0EE" w14:textId="77777777" w:rsidR="000149E8" w:rsidRDefault="000149E8" w:rsidP="000149E8"/>
          <w:p w14:paraId="4573E04D" w14:textId="25A3A114" w:rsidR="00850471" w:rsidRPr="00FD0CB5" w:rsidRDefault="000149E8" w:rsidP="006F0162">
            <w:pPr>
              <w:rPr>
                <w:bCs/>
                <w:noProof/>
                <w:szCs w:val="24"/>
              </w:rPr>
            </w:pPr>
            <w:r>
              <w:t xml:space="preserve">Resolution required by: To be determined by the </w:t>
            </w:r>
            <w:r w:rsidR="00D92FBA">
              <w:t>Rolls-Royce</w:t>
            </w:r>
            <w:r>
              <w:t xml:space="preserve"> SMR Ltd</w:t>
            </w:r>
            <w:r w:rsidR="00D92FBA">
              <w:t>.</w:t>
            </w:r>
            <w:r>
              <w:t xml:space="preserve"> Resolution Plan</w:t>
            </w:r>
            <w:r w:rsidR="006F66FD">
              <w:t>.</w:t>
            </w:r>
          </w:p>
        </w:tc>
      </w:tr>
      <w:tr w:rsidR="00A81989" w:rsidRPr="0048438C" w14:paraId="4877C3F2" w14:textId="77777777" w:rsidTr="22D1F31A">
        <w:trPr>
          <w:trHeight w:val="469"/>
        </w:trPr>
        <w:tc>
          <w:tcPr>
            <w:tcW w:w="9897" w:type="dxa"/>
            <w:gridSpan w:val="2"/>
            <w:shd w:val="clear" w:color="auto" w:fill="auto"/>
          </w:tcPr>
          <w:p w14:paraId="664A9B53" w14:textId="2DF2CE00" w:rsidR="007865D6" w:rsidRPr="00D518A2" w:rsidRDefault="007865D6" w:rsidP="007865D6">
            <w:pPr>
              <w:rPr>
                <w:b/>
                <w:bCs/>
              </w:rPr>
            </w:pPr>
            <w:r w:rsidRPr="00D30C85">
              <w:rPr>
                <w:b/>
                <w:bCs/>
              </w:rPr>
              <w:t>RO-RRSMR-002.</w:t>
            </w:r>
            <w:r w:rsidR="00DA08B5" w:rsidRPr="00D30C85">
              <w:rPr>
                <w:b/>
                <w:bCs/>
              </w:rPr>
              <w:t>A</w:t>
            </w:r>
            <w:r w:rsidR="00DA08B5">
              <w:rPr>
                <w:b/>
                <w:bCs/>
              </w:rPr>
              <w:t>2</w:t>
            </w:r>
            <w:r w:rsidRPr="00D30C85">
              <w:rPr>
                <w:b/>
                <w:bCs/>
              </w:rPr>
              <w:t>:</w:t>
            </w:r>
            <w:r>
              <w:rPr>
                <w:b/>
                <w:bCs/>
              </w:rPr>
              <w:t xml:space="preserve"> </w:t>
            </w:r>
            <w:r w:rsidRPr="00D518A2">
              <w:rPr>
                <w:b/>
                <w:bCs/>
              </w:rPr>
              <w:t xml:space="preserve">PSA Quality Assurance Plan and </w:t>
            </w:r>
            <w:r w:rsidR="00E220D4">
              <w:rPr>
                <w:b/>
                <w:bCs/>
              </w:rPr>
              <w:t>q</w:t>
            </w:r>
            <w:r w:rsidRPr="00D518A2">
              <w:rPr>
                <w:b/>
                <w:bCs/>
              </w:rPr>
              <w:t xml:space="preserve">uality </w:t>
            </w:r>
            <w:r w:rsidR="00E220D4">
              <w:rPr>
                <w:b/>
                <w:bCs/>
              </w:rPr>
              <w:t>a</w:t>
            </w:r>
            <w:r w:rsidRPr="00D518A2">
              <w:rPr>
                <w:b/>
                <w:bCs/>
              </w:rPr>
              <w:t xml:space="preserve">ssurance </w:t>
            </w:r>
            <w:r w:rsidR="00E220D4">
              <w:rPr>
                <w:b/>
                <w:bCs/>
              </w:rPr>
              <w:t>p</w:t>
            </w:r>
            <w:r w:rsidRPr="00D518A2">
              <w:rPr>
                <w:b/>
                <w:bCs/>
              </w:rPr>
              <w:t>rocedures</w:t>
            </w:r>
          </w:p>
          <w:p w14:paraId="5735AEF2" w14:textId="77777777" w:rsidR="007865D6" w:rsidRDefault="007865D6" w:rsidP="007865D6">
            <w:pPr>
              <w:rPr>
                <w:b/>
                <w:bCs/>
              </w:rPr>
            </w:pPr>
          </w:p>
          <w:p w14:paraId="4185540E" w14:textId="77777777" w:rsidR="007865D6" w:rsidRDefault="007865D6" w:rsidP="007865D6">
            <w:pPr>
              <w:spacing w:before="60" w:after="60"/>
              <w:rPr>
                <w:noProof/>
                <w:szCs w:val="24"/>
              </w:rPr>
            </w:pPr>
            <w:r w:rsidRPr="0048438C">
              <w:rPr>
                <w:noProof/>
                <w:szCs w:val="24"/>
              </w:rPr>
              <w:t xml:space="preserve">In response to this Regulatory Observation Action, </w:t>
            </w:r>
            <w:r>
              <w:rPr>
                <w:noProof/>
                <w:szCs w:val="24"/>
              </w:rPr>
              <w:t>Rolls-Royce SMR Ltd</w:t>
            </w:r>
            <w:r w:rsidRPr="0048438C">
              <w:rPr>
                <w:noProof/>
                <w:szCs w:val="24"/>
              </w:rPr>
              <w:t xml:space="preserve"> should:</w:t>
            </w:r>
          </w:p>
          <w:p w14:paraId="32F66445" w14:textId="77777777" w:rsidR="007865D6" w:rsidRDefault="007865D6" w:rsidP="007865D6">
            <w:pPr>
              <w:spacing w:before="60" w:after="60"/>
              <w:rPr>
                <w:noProof/>
                <w:szCs w:val="24"/>
              </w:rPr>
            </w:pPr>
          </w:p>
          <w:p w14:paraId="317173F9" w14:textId="6DCD65C7" w:rsidR="007865D6" w:rsidRPr="006A7F17" w:rsidRDefault="00A37177" w:rsidP="00064745">
            <w:pPr>
              <w:pStyle w:val="ListParagraph"/>
              <w:numPr>
                <w:ilvl w:val="0"/>
                <w:numId w:val="29"/>
              </w:numPr>
              <w:spacing w:before="120"/>
              <w:ind w:left="714" w:hanging="357"/>
              <w:contextualSpacing w:val="0"/>
            </w:pPr>
            <w:r w:rsidRPr="006A7F17">
              <w:t>Submit to ONR</w:t>
            </w:r>
            <w:r w:rsidR="007865D6" w:rsidRPr="006A7F17">
              <w:t xml:space="preserve"> the</w:t>
            </w:r>
            <w:r w:rsidR="00014661" w:rsidRPr="006A7F17">
              <w:t xml:space="preserve"> relevant</w:t>
            </w:r>
            <w:r w:rsidR="007865D6" w:rsidRPr="006A7F17">
              <w:t xml:space="preserve"> Rolls-Royce SMR PSA QA plan</w:t>
            </w:r>
            <w:r w:rsidR="00014661" w:rsidRPr="006A7F17">
              <w:t>s</w:t>
            </w:r>
            <w:r w:rsidR="007865D6" w:rsidRPr="006A7F17">
              <w:t xml:space="preserve"> and procedures</w:t>
            </w:r>
            <w:r w:rsidR="00014661" w:rsidRPr="006A7F17">
              <w:t xml:space="preserve"> that detail </w:t>
            </w:r>
            <w:r w:rsidR="007865D6" w:rsidRPr="006A7F17">
              <w:t xml:space="preserve">the </w:t>
            </w:r>
            <w:r w:rsidR="00014661" w:rsidRPr="006A7F17">
              <w:t>necessary</w:t>
            </w:r>
            <w:r w:rsidR="007865D6" w:rsidRPr="006A7F17">
              <w:t xml:space="preserve"> level of QA for each PSA task, including those that require involvement of other departments.</w:t>
            </w:r>
          </w:p>
          <w:p w14:paraId="687AE72E" w14:textId="77777777" w:rsidR="007865D6" w:rsidRDefault="007865D6" w:rsidP="007865D6">
            <w:pPr>
              <w:rPr>
                <w:b/>
                <w:bCs/>
              </w:rPr>
            </w:pPr>
          </w:p>
          <w:p w14:paraId="0F5EF208" w14:textId="1325E4A2" w:rsidR="007865D6" w:rsidRPr="0048438C" w:rsidRDefault="007865D6" w:rsidP="006F0162">
            <w:pPr>
              <w:rPr>
                <w:b/>
                <w:noProof/>
                <w:szCs w:val="24"/>
              </w:rPr>
            </w:pPr>
            <w:r>
              <w:lastRenderedPageBreak/>
              <w:t>Resolution required by: To be determined by the Rolls-Royce SMR Ltd Resolution Plan</w:t>
            </w:r>
            <w:r w:rsidR="006F66FD">
              <w:t>.</w:t>
            </w:r>
          </w:p>
        </w:tc>
      </w:tr>
      <w:tr w:rsidR="007865D6" w:rsidRPr="0048438C" w14:paraId="52B2484C" w14:textId="77777777" w:rsidTr="22D1F31A">
        <w:trPr>
          <w:trHeight w:val="340"/>
        </w:trPr>
        <w:tc>
          <w:tcPr>
            <w:tcW w:w="9897" w:type="dxa"/>
            <w:gridSpan w:val="2"/>
            <w:shd w:val="clear" w:color="auto" w:fill="auto"/>
          </w:tcPr>
          <w:p w14:paraId="4ABF0AAC" w14:textId="135CD9E9" w:rsidR="008416D1" w:rsidRDefault="008416D1" w:rsidP="008416D1">
            <w:pPr>
              <w:spacing w:before="60" w:after="60"/>
              <w:rPr>
                <w:b/>
                <w:bCs/>
              </w:rPr>
            </w:pPr>
            <w:r w:rsidRPr="00D30C85">
              <w:rPr>
                <w:b/>
                <w:bCs/>
              </w:rPr>
              <w:lastRenderedPageBreak/>
              <w:t>RO-RRSMR-002.</w:t>
            </w:r>
            <w:r w:rsidR="00DA08B5" w:rsidRPr="00D30C85">
              <w:rPr>
                <w:b/>
                <w:bCs/>
              </w:rPr>
              <w:t>A</w:t>
            </w:r>
            <w:r w:rsidR="00DA08B5">
              <w:rPr>
                <w:b/>
                <w:bCs/>
              </w:rPr>
              <w:t>3</w:t>
            </w:r>
            <w:r w:rsidRPr="00D30C85">
              <w:rPr>
                <w:b/>
                <w:bCs/>
              </w:rPr>
              <w:t>:</w:t>
            </w:r>
            <w:r>
              <w:rPr>
                <w:b/>
                <w:bCs/>
              </w:rPr>
              <w:t xml:space="preserve"> Integration of PSA into the wider </w:t>
            </w:r>
            <w:r w:rsidR="00F12F30">
              <w:rPr>
                <w:b/>
                <w:bCs/>
              </w:rPr>
              <w:t>s</w:t>
            </w:r>
            <w:r w:rsidR="00A52EF1">
              <w:rPr>
                <w:b/>
                <w:bCs/>
              </w:rPr>
              <w:t xml:space="preserve">afety </w:t>
            </w:r>
            <w:r>
              <w:rPr>
                <w:b/>
                <w:bCs/>
              </w:rPr>
              <w:t>case</w:t>
            </w:r>
          </w:p>
          <w:p w14:paraId="1E093AD5" w14:textId="77777777" w:rsidR="008416D1" w:rsidRDefault="008416D1" w:rsidP="008416D1">
            <w:pPr>
              <w:spacing w:before="60" w:after="60"/>
              <w:rPr>
                <w:b/>
                <w:bCs/>
              </w:rPr>
            </w:pPr>
          </w:p>
          <w:p w14:paraId="6322C8C1" w14:textId="77777777" w:rsidR="008416D1" w:rsidRDefault="008416D1" w:rsidP="008416D1">
            <w:pPr>
              <w:spacing w:before="60" w:after="60"/>
            </w:pPr>
            <w:r w:rsidRPr="00A51199">
              <w:t>In response to this Regulatory Observation Action, Rolls-Royce SMR Ltd should:</w:t>
            </w:r>
          </w:p>
          <w:p w14:paraId="487C89FA" w14:textId="77777777" w:rsidR="008416D1" w:rsidRDefault="008416D1" w:rsidP="008416D1">
            <w:pPr>
              <w:spacing w:before="60" w:after="60"/>
            </w:pPr>
          </w:p>
          <w:p w14:paraId="6CC60AF1" w14:textId="5B7C09E2" w:rsidR="008416D1" w:rsidRDefault="00C643D8" w:rsidP="00064745">
            <w:pPr>
              <w:pStyle w:val="ListParagraph"/>
              <w:numPr>
                <w:ilvl w:val="0"/>
                <w:numId w:val="29"/>
              </w:numPr>
              <w:spacing w:before="120"/>
              <w:ind w:left="714" w:hanging="357"/>
              <w:contextualSpacing w:val="0"/>
            </w:pPr>
            <w:r>
              <w:t>D</w:t>
            </w:r>
            <w:r w:rsidR="008416D1" w:rsidRPr="00D518A2">
              <w:t xml:space="preserve">emonstrate how </w:t>
            </w:r>
            <w:r w:rsidR="008416D1">
              <w:t xml:space="preserve">the </w:t>
            </w:r>
            <w:r w:rsidR="008416D1" w:rsidRPr="00D518A2">
              <w:t xml:space="preserve">PSA is integrated </w:t>
            </w:r>
            <w:r w:rsidR="008416D1">
              <w:t>into</w:t>
            </w:r>
            <w:r w:rsidR="008416D1" w:rsidRPr="00D518A2">
              <w:t xml:space="preserve"> the </w:t>
            </w:r>
            <w:r w:rsidR="008416D1">
              <w:t>wider</w:t>
            </w:r>
            <w:r w:rsidR="00A81989">
              <w:t xml:space="preserve"> </w:t>
            </w:r>
            <w:r w:rsidR="00A56D83">
              <w:t xml:space="preserve">safety </w:t>
            </w:r>
            <w:r w:rsidR="008416D1">
              <w:t>case, including the analysis and engineering disciplines</w:t>
            </w:r>
            <w:r w:rsidR="008416D1" w:rsidRPr="00D518A2">
              <w:t xml:space="preserve">. </w:t>
            </w:r>
            <w:r w:rsidR="008416D1">
              <w:t xml:space="preserve">This should highlight both inputs to the PSA (e.g. claims related to transient analysis, performance analysis, human reliability analysis) and where evidence from the PSA will be used to support the </w:t>
            </w:r>
            <w:r w:rsidR="00A56D83">
              <w:t xml:space="preserve">safety </w:t>
            </w:r>
            <w:r w:rsidR="008416D1">
              <w:t xml:space="preserve">case (e.g. Optioneering reviews, </w:t>
            </w:r>
            <w:r w:rsidR="007B7A36">
              <w:t>demonstration of a balanced design</w:t>
            </w:r>
            <w:r w:rsidR="00314A89">
              <w:t xml:space="preserve"> etc.</w:t>
            </w:r>
            <w:r w:rsidR="00C91C28">
              <w:t>)</w:t>
            </w:r>
            <w:r w:rsidR="00AD6402">
              <w:t xml:space="preserve"> in line with the expectations of T</w:t>
            </w:r>
            <w:r w:rsidR="00A56D83">
              <w:t xml:space="preserve">echnical </w:t>
            </w:r>
            <w:r w:rsidR="00AD6402">
              <w:t>A</w:t>
            </w:r>
            <w:r w:rsidR="00A56D83">
              <w:t xml:space="preserve">ssessment </w:t>
            </w:r>
            <w:r w:rsidR="00AD6402">
              <w:t>G</w:t>
            </w:r>
            <w:r w:rsidR="00A56D83">
              <w:t>uide</w:t>
            </w:r>
            <w:r w:rsidR="00AD6402">
              <w:t xml:space="preserve"> 30</w:t>
            </w:r>
            <w:r w:rsidR="00A56D83">
              <w:t xml:space="preserve"> on PSA [</w:t>
            </w:r>
            <w:r w:rsidR="00086DFE">
              <w:t>9]</w:t>
            </w:r>
            <w:r w:rsidR="008416D1">
              <w:t xml:space="preserve">. </w:t>
            </w:r>
          </w:p>
          <w:p w14:paraId="38A2B557" w14:textId="5E5B8669" w:rsidR="00086DFE" w:rsidRDefault="00086DFE" w:rsidP="00064745">
            <w:pPr>
              <w:pStyle w:val="ListParagraph"/>
              <w:numPr>
                <w:ilvl w:val="0"/>
                <w:numId w:val="29"/>
              </w:numPr>
              <w:spacing w:before="120"/>
              <w:ind w:left="714" w:hanging="357"/>
              <w:contextualSpacing w:val="0"/>
            </w:pPr>
            <w:r w:rsidRPr="00086DFE">
              <w:t xml:space="preserve">Set out how the PSA will used to inform, complement, support and strengthen the demonstrations across the </w:t>
            </w:r>
            <w:r w:rsidR="00451FA9">
              <w:t>safety</w:t>
            </w:r>
            <w:r w:rsidRPr="00086DFE">
              <w:t xml:space="preserve"> case that radiological risks have been reduced ALARP in the design</w:t>
            </w:r>
            <w:r>
              <w:t>.</w:t>
            </w:r>
          </w:p>
          <w:p w14:paraId="049EB890" w14:textId="77777777" w:rsidR="008416D1" w:rsidRDefault="008416D1" w:rsidP="008416D1">
            <w:pPr>
              <w:spacing w:before="60" w:after="60"/>
            </w:pPr>
          </w:p>
          <w:p w14:paraId="581B2D46" w14:textId="00954969" w:rsidR="008416D1" w:rsidRDefault="008416D1" w:rsidP="008416D1">
            <w:r>
              <w:t>Resolution required by: To be determined by the Rolls-Royce SMR Ltd. Resolution Plan</w:t>
            </w:r>
            <w:r w:rsidR="006F66FD">
              <w:t>.</w:t>
            </w:r>
          </w:p>
          <w:p w14:paraId="08DAF33E" w14:textId="77777777" w:rsidR="008416D1" w:rsidRPr="0048438C" w:rsidRDefault="008416D1" w:rsidP="0048438C">
            <w:pPr>
              <w:spacing w:before="60" w:after="60"/>
              <w:rPr>
                <w:b/>
                <w:noProof/>
                <w:szCs w:val="24"/>
              </w:rPr>
            </w:pPr>
          </w:p>
        </w:tc>
      </w:tr>
      <w:tr w:rsidR="007865D6" w:rsidRPr="0048438C" w14:paraId="4FD7ED10" w14:textId="77777777" w:rsidTr="22D1F31A">
        <w:trPr>
          <w:trHeight w:val="2211"/>
        </w:trPr>
        <w:tc>
          <w:tcPr>
            <w:tcW w:w="9897" w:type="dxa"/>
            <w:gridSpan w:val="2"/>
            <w:shd w:val="clear" w:color="auto" w:fill="auto"/>
          </w:tcPr>
          <w:p w14:paraId="45C4649C" w14:textId="2E9A4C1B" w:rsidR="008416D1" w:rsidRDefault="008416D1" w:rsidP="008416D1">
            <w:pPr>
              <w:spacing w:before="60" w:after="60"/>
              <w:rPr>
                <w:b/>
                <w:bCs/>
              </w:rPr>
            </w:pPr>
            <w:r w:rsidRPr="00D30C85">
              <w:rPr>
                <w:b/>
                <w:bCs/>
              </w:rPr>
              <w:t>RO-RRSMR-002.</w:t>
            </w:r>
            <w:r w:rsidR="00DA08B5" w:rsidRPr="00D30C85">
              <w:rPr>
                <w:b/>
                <w:bCs/>
              </w:rPr>
              <w:t>A</w:t>
            </w:r>
            <w:r w:rsidR="00DA08B5">
              <w:rPr>
                <w:b/>
                <w:bCs/>
              </w:rPr>
              <w:t>4</w:t>
            </w:r>
            <w:r w:rsidRPr="00D30C85">
              <w:rPr>
                <w:b/>
                <w:bCs/>
              </w:rPr>
              <w:t>:</w:t>
            </w:r>
            <w:r>
              <w:rPr>
                <w:b/>
                <w:bCs/>
              </w:rPr>
              <w:t xml:space="preserve"> Integration of PSA into the design</w:t>
            </w:r>
          </w:p>
          <w:p w14:paraId="1A54958F" w14:textId="77777777" w:rsidR="008416D1" w:rsidRDefault="008416D1" w:rsidP="008416D1">
            <w:pPr>
              <w:spacing w:before="60" w:after="60"/>
              <w:rPr>
                <w:b/>
                <w:bCs/>
              </w:rPr>
            </w:pPr>
          </w:p>
          <w:p w14:paraId="39FA3D1B" w14:textId="77777777" w:rsidR="008416D1" w:rsidRDefault="008416D1" w:rsidP="008416D1">
            <w:pPr>
              <w:spacing w:before="60" w:after="60"/>
            </w:pPr>
            <w:r w:rsidRPr="00A51199">
              <w:t>In response to this Regulatory Observation Action, Rolls-Royce SMR Ltd should:</w:t>
            </w:r>
          </w:p>
          <w:p w14:paraId="50070A73" w14:textId="77777777" w:rsidR="008416D1" w:rsidRDefault="008416D1" w:rsidP="008416D1">
            <w:pPr>
              <w:spacing w:before="60" w:after="60"/>
            </w:pPr>
          </w:p>
          <w:p w14:paraId="3928CF38" w14:textId="009220F2" w:rsidR="008416D1" w:rsidRDefault="0028067C" w:rsidP="00064745">
            <w:pPr>
              <w:pStyle w:val="ListParagraph"/>
              <w:numPr>
                <w:ilvl w:val="0"/>
                <w:numId w:val="29"/>
              </w:numPr>
              <w:spacing w:before="120"/>
              <w:ind w:left="714" w:hanging="357"/>
              <w:contextualSpacing w:val="0"/>
            </w:pPr>
            <w:r>
              <w:t>D</w:t>
            </w:r>
            <w:r w:rsidR="008416D1" w:rsidRPr="00F9677A">
              <w:t xml:space="preserve">emonstrate how the PSA is integrated into the </w:t>
            </w:r>
            <w:r w:rsidR="008416D1">
              <w:t xml:space="preserve">development of the generic </w:t>
            </w:r>
            <w:r w:rsidR="008416D1" w:rsidRPr="00F9677A">
              <w:t xml:space="preserve">design. The criteria for when PSA should be used, and when it is justified for it not to be used, should be clearly laid out. </w:t>
            </w:r>
          </w:p>
          <w:p w14:paraId="6DA27155" w14:textId="77777777" w:rsidR="008416D1" w:rsidRPr="0048438C" w:rsidRDefault="008416D1" w:rsidP="008416D1">
            <w:pPr>
              <w:spacing w:before="60" w:after="60"/>
              <w:rPr>
                <w:noProof/>
                <w:szCs w:val="24"/>
                <w:highlight w:val="yellow"/>
              </w:rPr>
            </w:pPr>
          </w:p>
          <w:p w14:paraId="0BE2A97E" w14:textId="6A93249D" w:rsidR="008416D1" w:rsidRDefault="008416D1" w:rsidP="008416D1">
            <w:r>
              <w:t>Resolution required by: To be determined by the Rolls-Royce SMR Ltd. Resolution Plan</w:t>
            </w:r>
            <w:r w:rsidR="006F66FD">
              <w:t>.</w:t>
            </w:r>
          </w:p>
          <w:p w14:paraId="1C8C5CFC" w14:textId="77777777" w:rsidR="008416D1" w:rsidRPr="0048438C" w:rsidRDefault="008416D1" w:rsidP="0048438C">
            <w:pPr>
              <w:spacing w:before="60" w:after="60"/>
              <w:rPr>
                <w:b/>
                <w:noProof/>
                <w:szCs w:val="24"/>
              </w:rPr>
            </w:pPr>
          </w:p>
        </w:tc>
      </w:tr>
    </w:tbl>
    <w:p w14:paraId="6E129088" w14:textId="77777777" w:rsidR="00D837C8" w:rsidRDefault="00D837C8"/>
    <w:tbl>
      <w:tblPr>
        <w:tblW w:w="98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6436"/>
        <w:gridCol w:w="3461"/>
      </w:tblGrid>
      <w:tr w:rsidR="00850471" w:rsidRPr="0048438C" w14:paraId="4573E050" w14:textId="77777777" w:rsidTr="00D837C8">
        <w:trPr>
          <w:trHeight w:val="316"/>
        </w:trPr>
        <w:tc>
          <w:tcPr>
            <w:tcW w:w="9897" w:type="dxa"/>
            <w:gridSpan w:val="2"/>
            <w:shd w:val="clear" w:color="auto" w:fill="D9D9D9" w:themeFill="background1" w:themeFillShade="D9"/>
          </w:tcPr>
          <w:p w14:paraId="4573E04F" w14:textId="77777777" w:rsidR="00850471" w:rsidRPr="0048438C" w:rsidRDefault="00850471" w:rsidP="0048438C">
            <w:pPr>
              <w:spacing w:before="60" w:after="60"/>
              <w:jc w:val="center"/>
              <w:rPr>
                <w:szCs w:val="24"/>
              </w:rPr>
            </w:pPr>
            <w:r w:rsidRPr="0048438C">
              <w:rPr>
                <w:b/>
                <w:szCs w:val="24"/>
              </w:rPr>
              <w:t>REQUESTING PARTY TO COMPLETE</w:t>
            </w:r>
          </w:p>
        </w:tc>
      </w:tr>
      <w:tr w:rsidR="00850471" w:rsidRPr="0048438C" w14:paraId="4573E053" w14:textId="77777777" w:rsidTr="009459D7">
        <w:trPr>
          <w:trHeight w:val="204"/>
        </w:trPr>
        <w:tc>
          <w:tcPr>
            <w:tcW w:w="6436" w:type="dxa"/>
            <w:shd w:val="clear" w:color="auto" w:fill="auto"/>
          </w:tcPr>
          <w:p w14:paraId="4573E051" w14:textId="4EF38771" w:rsidR="00850471" w:rsidRPr="0048438C" w:rsidRDefault="00850471" w:rsidP="0048438C">
            <w:pPr>
              <w:spacing w:before="60" w:after="60"/>
              <w:rPr>
                <w:b/>
                <w:szCs w:val="24"/>
              </w:rPr>
            </w:pPr>
            <w:r w:rsidRPr="0048438C">
              <w:rPr>
                <w:b/>
                <w:szCs w:val="24"/>
              </w:rPr>
              <w:t>Actual Acknowledgement date</w:t>
            </w:r>
            <w:r w:rsidR="00367C32">
              <w:rPr>
                <w:b/>
                <w:szCs w:val="24"/>
              </w:rPr>
              <w:t xml:space="preserve"> </w:t>
            </w:r>
            <w:r w:rsidR="00367C32" w:rsidRPr="009459D7">
              <w:rPr>
                <w:bCs/>
                <w:szCs w:val="24"/>
              </w:rPr>
              <w:t>(dd/mm/</w:t>
            </w:r>
            <w:proofErr w:type="spellStart"/>
            <w:r w:rsidR="00367C32" w:rsidRPr="009459D7">
              <w:rPr>
                <w:bCs/>
                <w:szCs w:val="24"/>
              </w:rPr>
              <w:t>yy</w:t>
            </w:r>
            <w:proofErr w:type="spellEnd"/>
            <w:r w:rsidR="00367C32" w:rsidRPr="009459D7">
              <w:rPr>
                <w:bCs/>
                <w:szCs w:val="24"/>
              </w:rPr>
              <w:t>)</w:t>
            </w:r>
            <w:r w:rsidRPr="0048438C">
              <w:rPr>
                <w:b/>
                <w:szCs w:val="24"/>
              </w:rPr>
              <w:t>:</w:t>
            </w:r>
          </w:p>
        </w:tc>
        <w:tc>
          <w:tcPr>
            <w:tcW w:w="3461" w:type="dxa"/>
            <w:shd w:val="clear" w:color="auto" w:fill="auto"/>
          </w:tcPr>
          <w:p w14:paraId="4573E052" w14:textId="77777777" w:rsidR="00850471" w:rsidRPr="0048438C" w:rsidRDefault="00850471" w:rsidP="0048438C">
            <w:pPr>
              <w:spacing w:before="60" w:after="60"/>
              <w:jc w:val="center"/>
              <w:rPr>
                <w:b/>
                <w:szCs w:val="24"/>
              </w:rPr>
            </w:pPr>
          </w:p>
        </w:tc>
      </w:tr>
      <w:tr w:rsidR="00850471" w:rsidRPr="0048438C" w14:paraId="4573E056" w14:textId="77777777" w:rsidTr="009459D7">
        <w:trPr>
          <w:trHeight w:val="204"/>
        </w:trPr>
        <w:tc>
          <w:tcPr>
            <w:tcW w:w="6436" w:type="dxa"/>
            <w:shd w:val="clear" w:color="auto" w:fill="auto"/>
          </w:tcPr>
          <w:p w14:paraId="4573E054" w14:textId="2C1E1120" w:rsidR="00850471" w:rsidRPr="0048438C" w:rsidRDefault="00850471" w:rsidP="0048438C">
            <w:pPr>
              <w:spacing w:before="60" w:after="60"/>
              <w:rPr>
                <w:b/>
                <w:szCs w:val="24"/>
              </w:rPr>
            </w:pPr>
            <w:r w:rsidRPr="0048438C">
              <w:rPr>
                <w:b/>
                <w:szCs w:val="24"/>
              </w:rPr>
              <w:t>RP stated Resolution Plan agreement date</w:t>
            </w:r>
            <w:r w:rsidR="009459D7">
              <w:rPr>
                <w:b/>
                <w:szCs w:val="24"/>
              </w:rPr>
              <w:t xml:space="preserve"> </w:t>
            </w:r>
            <w:r w:rsidR="009459D7" w:rsidRPr="009459D7">
              <w:rPr>
                <w:bCs/>
                <w:szCs w:val="24"/>
              </w:rPr>
              <w:t>(dd/mm/</w:t>
            </w:r>
            <w:proofErr w:type="spellStart"/>
            <w:r w:rsidR="009459D7" w:rsidRPr="009459D7">
              <w:rPr>
                <w:bCs/>
                <w:szCs w:val="24"/>
              </w:rPr>
              <w:t>yy</w:t>
            </w:r>
            <w:proofErr w:type="spellEnd"/>
            <w:r w:rsidR="009459D7" w:rsidRPr="009459D7">
              <w:rPr>
                <w:bCs/>
                <w:szCs w:val="24"/>
              </w:rPr>
              <w:t>)</w:t>
            </w:r>
            <w:r w:rsidRPr="0048438C">
              <w:rPr>
                <w:b/>
                <w:szCs w:val="24"/>
              </w:rPr>
              <w:t>:</w:t>
            </w:r>
          </w:p>
        </w:tc>
        <w:tc>
          <w:tcPr>
            <w:tcW w:w="3461" w:type="dxa"/>
            <w:shd w:val="clear" w:color="auto" w:fill="auto"/>
          </w:tcPr>
          <w:p w14:paraId="4573E055" w14:textId="77777777" w:rsidR="00850471" w:rsidRPr="0048438C" w:rsidRDefault="00850471" w:rsidP="0048438C">
            <w:pPr>
              <w:spacing w:before="60" w:after="60"/>
              <w:jc w:val="center"/>
              <w:rPr>
                <w:b/>
                <w:szCs w:val="24"/>
              </w:rPr>
            </w:pPr>
          </w:p>
        </w:tc>
      </w:tr>
    </w:tbl>
    <w:p w14:paraId="4573E057" w14:textId="0F4061B4" w:rsidR="00ED1ADA" w:rsidRPr="0048438C" w:rsidRDefault="00ED1ADA" w:rsidP="0048438C">
      <w:pPr>
        <w:spacing w:before="60" w:after="60"/>
        <w:rPr>
          <w:szCs w:val="24"/>
        </w:rPr>
      </w:pPr>
    </w:p>
    <w:sectPr w:rsidR="00ED1ADA" w:rsidRPr="0048438C">
      <w:headerReference w:type="default" r:id="rId18"/>
      <w:footerReference w:type="even" r:id="rId19"/>
      <w:footerReference w:type="default" r:id="rId20"/>
      <w:pgSz w:w="11906" w:h="16838" w:code="9"/>
      <w:pgMar w:top="1134" w:right="1134" w:bottom="102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E969" w14:textId="77777777" w:rsidR="00E87B97" w:rsidRDefault="00E87B97">
      <w:r>
        <w:separator/>
      </w:r>
    </w:p>
  </w:endnote>
  <w:endnote w:type="continuationSeparator" w:id="0">
    <w:p w14:paraId="2406F9FD" w14:textId="77777777" w:rsidR="00E87B97" w:rsidRDefault="00E8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E05D" w14:textId="77777777" w:rsidR="00C15B6D" w:rsidRDefault="00C1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73E05E" w14:textId="77777777" w:rsidR="00C15B6D" w:rsidRDefault="00C15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E05F" w14:textId="2AFADDD1" w:rsidR="00C15B6D" w:rsidRDefault="005A547C">
    <w:pPr>
      <w:pStyle w:val="Footer"/>
      <w:tabs>
        <w:tab w:val="clear" w:pos="8306"/>
        <w:tab w:val="right" w:pos="9840"/>
      </w:tabs>
      <w:spacing w:before="120"/>
      <w:rPr>
        <w:lang w:val="en-US"/>
      </w:rPr>
    </w:pPr>
    <w:r w:rsidRPr="009D128E">
      <w:rPr>
        <w:sz w:val="22"/>
        <w:szCs w:val="22"/>
        <w:lang w:val="en-US"/>
      </w:rPr>
      <w:t xml:space="preserve">Page </w:t>
    </w:r>
    <w:r w:rsidRPr="009D128E">
      <w:rPr>
        <w:sz w:val="22"/>
        <w:szCs w:val="22"/>
        <w:lang w:val="en-US"/>
      </w:rPr>
      <w:fldChar w:fldCharType="begin"/>
    </w:r>
    <w:r w:rsidRPr="009D128E">
      <w:rPr>
        <w:sz w:val="22"/>
        <w:szCs w:val="22"/>
        <w:lang w:val="en-US"/>
      </w:rPr>
      <w:instrText xml:space="preserve"> PAGE </w:instrText>
    </w:r>
    <w:r w:rsidRPr="009D128E">
      <w:rPr>
        <w:sz w:val="22"/>
        <w:szCs w:val="22"/>
        <w:lang w:val="en-US"/>
      </w:rPr>
      <w:fldChar w:fldCharType="separate"/>
    </w:r>
    <w:r>
      <w:rPr>
        <w:sz w:val="22"/>
        <w:lang w:val="en-US"/>
      </w:rPr>
      <w:t>1</w:t>
    </w:r>
    <w:r w:rsidRPr="009D128E">
      <w:rPr>
        <w:sz w:val="22"/>
        <w:szCs w:val="22"/>
        <w:lang w:val="en-US"/>
      </w:rPr>
      <w:fldChar w:fldCharType="end"/>
    </w:r>
    <w:r w:rsidRPr="009D128E">
      <w:rPr>
        <w:sz w:val="22"/>
        <w:szCs w:val="22"/>
        <w:lang w:val="en-US"/>
      </w:rPr>
      <w:t xml:space="preserve"> of </w:t>
    </w:r>
    <w:r w:rsidRPr="009D128E">
      <w:rPr>
        <w:sz w:val="22"/>
        <w:szCs w:val="22"/>
        <w:lang w:val="en-US"/>
      </w:rPr>
      <w:fldChar w:fldCharType="begin"/>
    </w:r>
    <w:r w:rsidRPr="009D128E">
      <w:rPr>
        <w:sz w:val="22"/>
        <w:szCs w:val="22"/>
        <w:lang w:val="en-US"/>
      </w:rPr>
      <w:instrText xml:space="preserve"> NUMPAGES </w:instrText>
    </w:r>
    <w:r w:rsidRPr="009D128E">
      <w:rPr>
        <w:sz w:val="22"/>
        <w:szCs w:val="22"/>
        <w:lang w:val="en-US"/>
      </w:rPr>
      <w:fldChar w:fldCharType="separate"/>
    </w:r>
    <w:r>
      <w:rPr>
        <w:sz w:val="22"/>
        <w:lang w:val="en-US"/>
      </w:rPr>
      <w:t>3</w:t>
    </w:r>
    <w:r w:rsidRPr="009D128E">
      <w:rPr>
        <w:sz w:val="22"/>
        <w:szCs w:val="22"/>
        <w:lang w:val="en-US"/>
      </w:rPr>
      <w:fldChar w:fldCharType="end"/>
    </w:r>
    <w:r w:rsidR="00C15B6D">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C02F" w14:textId="77777777" w:rsidR="00E87B97" w:rsidRDefault="00E87B97">
      <w:r>
        <w:separator/>
      </w:r>
    </w:p>
  </w:footnote>
  <w:footnote w:type="continuationSeparator" w:id="0">
    <w:p w14:paraId="26DD07C1" w14:textId="77777777" w:rsidR="00E87B97" w:rsidRDefault="00E8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FDC5" w14:textId="77777777" w:rsidR="003B6ACD" w:rsidRDefault="003B6ACD" w:rsidP="003B6ACD"/>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2241"/>
      <w:gridCol w:w="3686"/>
    </w:tblGrid>
    <w:tr w:rsidR="003B6ACD" w:rsidRPr="00A851E9" w14:paraId="2513218A" w14:textId="77777777" w:rsidTr="007A729E">
      <w:tc>
        <w:tcPr>
          <w:tcW w:w="3996" w:type="dxa"/>
        </w:tcPr>
        <w:p w14:paraId="6BEF3B11" w14:textId="77777777" w:rsidR="003B6ACD" w:rsidRPr="00A851E9" w:rsidRDefault="003B6ACD" w:rsidP="003B6ACD">
          <w:pPr>
            <w:tabs>
              <w:tab w:val="center" w:pos="4513"/>
              <w:tab w:val="right" w:pos="9026"/>
            </w:tabs>
            <w:spacing w:before="240"/>
            <w:rPr>
              <w:bCs/>
              <w:iCs/>
              <w:kern w:val="36"/>
              <w:sz w:val="18"/>
              <w:szCs w:val="18"/>
            </w:rPr>
          </w:pPr>
          <w:r w:rsidRPr="00A851E9">
            <w:rPr>
              <w:bCs/>
              <w:iCs/>
              <w:noProof/>
              <w:kern w:val="36"/>
              <w:sz w:val="18"/>
              <w:szCs w:val="18"/>
            </w:rPr>
            <w:drawing>
              <wp:inline distT="0" distB="0" distL="0" distR="0" wp14:anchorId="69FA83EC" wp14:editId="4AA3D7F0">
                <wp:extent cx="2395537" cy="509240"/>
                <wp:effectExtent l="0" t="0" r="508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029" cy="515509"/>
                        </a:xfrm>
                        <a:prstGeom prst="rect">
                          <a:avLst/>
                        </a:prstGeom>
                        <a:noFill/>
                      </pic:spPr>
                    </pic:pic>
                  </a:graphicData>
                </a:graphic>
              </wp:inline>
            </w:drawing>
          </w:r>
        </w:p>
      </w:tc>
      <w:tc>
        <w:tcPr>
          <w:tcW w:w="2241" w:type="dxa"/>
        </w:tcPr>
        <w:p w14:paraId="53B9E679" w14:textId="77777777" w:rsidR="003B6ACD" w:rsidRPr="00A851E9" w:rsidRDefault="003B6ACD" w:rsidP="003B6ACD">
          <w:pPr>
            <w:tabs>
              <w:tab w:val="center" w:pos="4513"/>
              <w:tab w:val="right" w:pos="9026"/>
            </w:tabs>
            <w:jc w:val="center"/>
            <w:rPr>
              <w:bCs/>
              <w:iCs/>
              <w:kern w:val="36"/>
              <w:sz w:val="18"/>
              <w:szCs w:val="18"/>
            </w:rPr>
          </w:pPr>
          <w:r w:rsidRPr="00A851E9">
            <w:rPr>
              <w:rFonts w:cs="Times New Roman"/>
              <w:noProof/>
              <w:szCs w:val="24"/>
            </w:rPr>
            <w:drawing>
              <wp:inline distT="0" distB="0" distL="0" distR="0" wp14:anchorId="0A9FFEE9" wp14:editId="3702F9A0">
                <wp:extent cx="1116703" cy="7905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361" cy="834934"/>
                        </a:xfrm>
                        <a:prstGeom prst="rect">
                          <a:avLst/>
                        </a:prstGeom>
                        <a:noFill/>
                        <a:ln>
                          <a:noFill/>
                        </a:ln>
                      </pic:spPr>
                    </pic:pic>
                  </a:graphicData>
                </a:graphic>
              </wp:inline>
            </w:drawing>
          </w:r>
        </w:p>
      </w:tc>
      <w:tc>
        <w:tcPr>
          <w:tcW w:w="3686" w:type="dxa"/>
        </w:tcPr>
        <w:p w14:paraId="1DCB8DFF" w14:textId="77777777" w:rsidR="003B6ACD" w:rsidRPr="00A851E9" w:rsidRDefault="003B6ACD" w:rsidP="003B6ACD">
          <w:pPr>
            <w:tabs>
              <w:tab w:val="center" w:pos="4513"/>
              <w:tab w:val="right" w:pos="9026"/>
            </w:tabs>
            <w:jc w:val="right"/>
            <w:rPr>
              <w:bCs/>
              <w:iCs/>
              <w:kern w:val="36"/>
              <w:sz w:val="18"/>
              <w:szCs w:val="18"/>
            </w:rPr>
          </w:pPr>
          <w:r w:rsidRPr="00A851E9">
            <w:rPr>
              <w:rFonts w:cs="Times New Roman"/>
              <w:noProof/>
              <w:szCs w:val="24"/>
            </w:rPr>
            <w:drawing>
              <wp:inline distT="0" distB="0" distL="0" distR="0" wp14:anchorId="082F45D2" wp14:editId="189642D6">
                <wp:extent cx="1938003" cy="79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021" cy="810163"/>
                        </a:xfrm>
                        <a:prstGeom prst="rect">
                          <a:avLst/>
                        </a:prstGeom>
                        <a:noFill/>
                        <a:ln>
                          <a:noFill/>
                        </a:ln>
                      </pic:spPr>
                    </pic:pic>
                  </a:graphicData>
                </a:graphic>
              </wp:inline>
            </w:drawing>
          </w:r>
        </w:p>
      </w:tc>
    </w:tr>
  </w:tbl>
  <w:p w14:paraId="0B85A8CA" w14:textId="77777777" w:rsidR="00C14744" w:rsidRPr="00C14744" w:rsidRDefault="00C14744" w:rsidP="0092073F">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A743F8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3A0DBF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252032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8A48E1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748921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C1D71"/>
    <w:multiLevelType w:val="multilevel"/>
    <w:tmpl w:val="3948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850EC5"/>
    <w:multiLevelType w:val="hybridMultilevel"/>
    <w:tmpl w:val="5A5CD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96F95"/>
    <w:multiLevelType w:val="hybridMultilevel"/>
    <w:tmpl w:val="5A5CD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0641A"/>
    <w:multiLevelType w:val="hybridMultilevel"/>
    <w:tmpl w:val="121E5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13AED"/>
    <w:multiLevelType w:val="hybridMultilevel"/>
    <w:tmpl w:val="AC40A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D4DAA"/>
    <w:multiLevelType w:val="hybridMultilevel"/>
    <w:tmpl w:val="56A8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B514A"/>
    <w:multiLevelType w:val="hybridMultilevel"/>
    <w:tmpl w:val="3A229618"/>
    <w:lvl w:ilvl="0" w:tplc="08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2" w15:restartNumberingAfterBreak="0">
    <w:nsid w:val="2F4A7245"/>
    <w:multiLevelType w:val="hybridMultilevel"/>
    <w:tmpl w:val="0A220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E7A4C"/>
    <w:multiLevelType w:val="hybridMultilevel"/>
    <w:tmpl w:val="F88CC07C"/>
    <w:lvl w:ilvl="0" w:tplc="1D165186">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4" w15:restartNumberingAfterBreak="0">
    <w:nsid w:val="37156349"/>
    <w:multiLevelType w:val="multilevel"/>
    <w:tmpl w:val="3948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B70378"/>
    <w:multiLevelType w:val="hybridMultilevel"/>
    <w:tmpl w:val="A238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1C1490"/>
    <w:multiLevelType w:val="hybridMultilevel"/>
    <w:tmpl w:val="3BA2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B7294"/>
    <w:multiLevelType w:val="hybridMultilevel"/>
    <w:tmpl w:val="0680C2AC"/>
    <w:lvl w:ilvl="0" w:tplc="9D7AF4AC">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B7A074A"/>
    <w:multiLevelType w:val="hybridMultilevel"/>
    <w:tmpl w:val="8B48C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336E31"/>
    <w:multiLevelType w:val="hybridMultilevel"/>
    <w:tmpl w:val="9E8AA35A"/>
    <w:lvl w:ilvl="0" w:tplc="6E0AD5F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73D570E9"/>
    <w:multiLevelType w:val="multilevel"/>
    <w:tmpl w:val="A5D8F0C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CEB275D"/>
    <w:multiLevelType w:val="hybridMultilevel"/>
    <w:tmpl w:val="3BC43F9E"/>
    <w:lvl w:ilvl="0" w:tplc="08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num w:numId="1" w16cid:durableId="641235645">
    <w:abstractNumId w:val="20"/>
  </w:num>
  <w:num w:numId="2" w16cid:durableId="2124690040">
    <w:abstractNumId w:val="20"/>
  </w:num>
  <w:num w:numId="3" w16cid:durableId="1684553643">
    <w:abstractNumId w:val="20"/>
  </w:num>
  <w:num w:numId="4" w16cid:durableId="939143235">
    <w:abstractNumId w:val="18"/>
  </w:num>
  <w:num w:numId="5" w16cid:durableId="1900676352">
    <w:abstractNumId w:val="15"/>
  </w:num>
  <w:num w:numId="6" w16cid:durableId="629214225">
    <w:abstractNumId w:val="20"/>
  </w:num>
  <w:num w:numId="7" w16cid:durableId="1354308451">
    <w:abstractNumId w:val="20"/>
  </w:num>
  <w:num w:numId="8" w16cid:durableId="804355555">
    <w:abstractNumId w:val="20"/>
  </w:num>
  <w:num w:numId="9" w16cid:durableId="1219433494">
    <w:abstractNumId w:val="20"/>
  </w:num>
  <w:num w:numId="10" w16cid:durableId="1757558662">
    <w:abstractNumId w:val="20"/>
  </w:num>
  <w:num w:numId="11" w16cid:durableId="1759983997">
    <w:abstractNumId w:val="20"/>
  </w:num>
  <w:num w:numId="12" w16cid:durableId="302083171">
    <w:abstractNumId w:val="4"/>
  </w:num>
  <w:num w:numId="13" w16cid:durableId="274096067">
    <w:abstractNumId w:val="3"/>
  </w:num>
  <w:num w:numId="14" w16cid:durableId="1040667246">
    <w:abstractNumId w:val="2"/>
  </w:num>
  <w:num w:numId="15" w16cid:durableId="1241061608">
    <w:abstractNumId w:val="1"/>
  </w:num>
  <w:num w:numId="16" w16cid:durableId="634988318">
    <w:abstractNumId w:val="0"/>
  </w:num>
  <w:num w:numId="17" w16cid:durableId="850878640">
    <w:abstractNumId w:val="9"/>
  </w:num>
  <w:num w:numId="18" w16cid:durableId="1249776031">
    <w:abstractNumId w:val="8"/>
  </w:num>
  <w:num w:numId="19" w16cid:durableId="1038580550">
    <w:abstractNumId w:val="17"/>
  </w:num>
  <w:num w:numId="20" w16cid:durableId="1292439517">
    <w:abstractNumId w:val="13"/>
  </w:num>
  <w:num w:numId="21" w16cid:durableId="203255320">
    <w:abstractNumId w:val="6"/>
  </w:num>
  <w:num w:numId="22" w16cid:durableId="1558542837">
    <w:abstractNumId w:val="7"/>
  </w:num>
  <w:num w:numId="23" w16cid:durableId="1480655085">
    <w:abstractNumId w:val="5"/>
  </w:num>
  <w:num w:numId="24" w16cid:durableId="1955474605">
    <w:abstractNumId w:val="14"/>
  </w:num>
  <w:num w:numId="25" w16cid:durableId="1138382468">
    <w:abstractNumId w:val="16"/>
  </w:num>
  <w:num w:numId="26" w16cid:durableId="688606354">
    <w:abstractNumId w:val="19"/>
  </w:num>
  <w:num w:numId="27" w16cid:durableId="1073547408">
    <w:abstractNumId w:val="11"/>
  </w:num>
  <w:num w:numId="28" w16cid:durableId="1164930079">
    <w:abstractNumId w:val="21"/>
  </w:num>
  <w:num w:numId="29" w16cid:durableId="608664565">
    <w:abstractNumId w:val="12"/>
  </w:num>
  <w:num w:numId="30" w16cid:durableId="3358139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ctiveWritingStyle w:appName="MSWord" w:lang="en-GB"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65"/>
    <w:rsid w:val="0000672E"/>
    <w:rsid w:val="00006B05"/>
    <w:rsid w:val="0000781D"/>
    <w:rsid w:val="00014661"/>
    <w:rsid w:val="000149E8"/>
    <w:rsid w:val="00026931"/>
    <w:rsid w:val="00040E3E"/>
    <w:rsid w:val="000455A3"/>
    <w:rsid w:val="00047346"/>
    <w:rsid w:val="00052B23"/>
    <w:rsid w:val="00055DD5"/>
    <w:rsid w:val="00061D43"/>
    <w:rsid w:val="000640A5"/>
    <w:rsid w:val="00064745"/>
    <w:rsid w:val="00070E0C"/>
    <w:rsid w:val="0007274B"/>
    <w:rsid w:val="000758E9"/>
    <w:rsid w:val="0008079C"/>
    <w:rsid w:val="00086DFE"/>
    <w:rsid w:val="000977CC"/>
    <w:rsid w:val="000A4EE0"/>
    <w:rsid w:val="000B0900"/>
    <w:rsid w:val="000B620F"/>
    <w:rsid w:val="000B7FD9"/>
    <w:rsid w:val="000C24FF"/>
    <w:rsid w:val="000D0BE1"/>
    <w:rsid w:val="000E5275"/>
    <w:rsid w:val="000F5F33"/>
    <w:rsid w:val="00113C94"/>
    <w:rsid w:val="001178D5"/>
    <w:rsid w:val="001220E5"/>
    <w:rsid w:val="00131A93"/>
    <w:rsid w:val="00141E00"/>
    <w:rsid w:val="001438BC"/>
    <w:rsid w:val="00150320"/>
    <w:rsid w:val="00163603"/>
    <w:rsid w:val="00170A05"/>
    <w:rsid w:val="001739F0"/>
    <w:rsid w:val="00177CC7"/>
    <w:rsid w:val="00182986"/>
    <w:rsid w:val="0018583B"/>
    <w:rsid w:val="00185D10"/>
    <w:rsid w:val="00187084"/>
    <w:rsid w:val="001A22EE"/>
    <w:rsid w:val="001A5C49"/>
    <w:rsid w:val="001B6F99"/>
    <w:rsid w:val="001B77A2"/>
    <w:rsid w:val="001C1C48"/>
    <w:rsid w:val="001E4D1A"/>
    <w:rsid w:val="001F1530"/>
    <w:rsid w:val="001F6603"/>
    <w:rsid w:val="001F685B"/>
    <w:rsid w:val="0020150E"/>
    <w:rsid w:val="0020377D"/>
    <w:rsid w:val="00203E07"/>
    <w:rsid w:val="00212157"/>
    <w:rsid w:val="00212619"/>
    <w:rsid w:val="00220466"/>
    <w:rsid w:val="00221347"/>
    <w:rsid w:val="00226852"/>
    <w:rsid w:val="00227061"/>
    <w:rsid w:val="00237F43"/>
    <w:rsid w:val="002529BE"/>
    <w:rsid w:val="002529FB"/>
    <w:rsid w:val="002532D6"/>
    <w:rsid w:val="002537E6"/>
    <w:rsid w:val="0025477E"/>
    <w:rsid w:val="002564C7"/>
    <w:rsid w:val="0027505E"/>
    <w:rsid w:val="0028067C"/>
    <w:rsid w:val="00280930"/>
    <w:rsid w:val="00281235"/>
    <w:rsid w:val="002860FC"/>
    <w:rsid w:val="002911EE"/>
    <w:rsid w:val="002A5FA7"/>
    <w:rsid w:val="002B263E"/>
    <w:rsid w:val="002C0193"/>
    <w:rsid w:val="002C0396"/>
    <w:rsid w:val="002D1996"/>
    <w:rsid w:val="002D36A4"/>
    <w:rsid w:val="002E731B"/>
    <w:rsid w:val="002F4ADD"/>
    <w:rsid w:val="003037B0"/>
    <w:rsid w:val="00303BF9"/>
    <w:rsid w:val="0031372A"/>
    <w:rsid w:val="00314A89"/>
    <w:rsid w:val="00317144"/>
    <w:rsid w:val="003177C2"/>
    <w:rsid w:val="00325824"/>
    <w:rsid w:val="00334293"/>
    <w:rsid w:val="00337B4A"/>
    <w:rsid w:val="0034293B"/>
    <w:rsid w:val="0034359D"/>
    <w:rsid w:val="00347213"/>
    <w:rsid w:val="003546ED"/>
    <w:rsid w:val="0035799C"/>
    <w:rsid w:val="00363AD7"/>
    <w:rsid w:val="00366AEB"/>
    <w:rsid w:val="00366CD4"/>
    <w:rsid w:val="00367C32"/>
    <w:rsid w:val="0037364F"/>
    <w:rsid w:val="00381948"/>
    <w:rsid w:val="00396B05"/>
    <w:rsid w:val="003A2119"/>
    <w:rsid w:val="003A21B7"/>
    <w:rsid w:val="003A6935"/>
    <w:rsid w:val="003B2540"/>
    <w:rsid w:val="003B6ACD"/>
    <w:rsid w:val="003C05B4"/>
    <w:rsid w:val="003C7579"/>
    <w:rsid w:val="003E3A8E"/>
    <w:rsid w:val="004019BD"/>
    <w:rsid w:val="0040443F"/>
    <w:rsid w:val="004057A6"/>
    <w:rsid w:val="00406B58"/>
    <w:rsid w:val="004214AE"/>
    <w:rsid w:val="00421EF0"/>
    <w:rsid w:val="00425FA3"/>
    <w:rsid w:val="0043364B"/>
    <w:rsid w:val="00433B73"/>
    <w:rsid w:val="00441E02"/>
    <w:rsid w:val="00444A94"/>
    <w:rsid w:val="00444C41"/>
    <w:rsid w:val="004456E2"/>
    <w:rsid w:val="00451FA9"/>
    <w:rsid w:val="0045368E"/>
    <w:rsid w:val="00466F9C"/>
    <w:rsid w:val="004713A8"/>
    <w:rsid w:val="00472ADC"/>
    <w:rsid w:val="0048438C"/>
    <w:rsid w:val="00487226"/>
    <w:rsid w:val="00494EE4"/>
    <w:rsid w:val="00496FAC"/>
    <w:rsid w:val="004B1A39"/>
    <w:rsid w:val="004C5C05"/>
    <w:rsid w:val="004D2D68"/>
    <w:rsid w:val="004D3B01"/>
    <w:rsid w:val="004E5017"/>
    <w:rsid w:val="004E555B"/>
    <w:rsid w:val="004F31FC"/>
    <w:rsid w:val="004F3DB9"/>
    <w:rsid w:val="004F611E"/>
    <w:rsid w:val="00500A11"/>
    <w:rsid w:val="00516817"/>
    <w:rsid w:val="005218CA"/>
    <w:rsid w:val="00536EB0"/>
    <w:rsid w:val="00542384"/>
    <w:rsid w:val="005426E6"/>
    <w:rsid w:val="00542CA2"/>
    <w:rsid w:val="00545A31"/>
    <w:rsid w:val="00555C1F"/>
    <w:rsid w:val="00570139"/>
    <w:rsid w:val="00581D5B"/>
    <w:rsid w:val="005948F1"/>
    <w:rsid w:val="00595F04"/>
    <w:rsid w:val="005A3886"/>
    <w:rsid w:val="005A547C"/>
    <w:rsid w:val="005A5989"/>
    <w:rsid w:val="005B7A7E"/>
    <w:rsid w:val="005C1394"/>
    <w:rsid w:val="005C43F5"/>
    <w:rsid w:val="005C4812"/>
    <w:rsid w:val="005C74A1"/>
    <w:rsid w:val="005D1320"/>
    <w:rsid w:val="005D2AA4"/>
    <w:rsid w:val="005E001C"/>
    <w:rsid w:val="005E510D"/>
    <w:rsid w:val="005F4CBD"/>
    <w:rsid w:val="005F56D3"/>
    <w:rsid w:val="005F6D7A"/>
    <w:rsid w:val="006006BE"/>
    <w:rsid w:val="006013B0"/>
    <w:rsid w:val="00613236"/>
    <w:rsid w:val="00614F2A"/>
    <w:rsid w:val="00627D12"/>
    <w:rsid w:val="006300E5"/>
    <w:rsid w:val="006366AC"/>
    <w:rsid w:val="00641433"/>
    <w:rsid w:val="00642618"/>
    <w:rsid w:val="00655095"/>
    <w:rsid w:val="0066287F"/>
    <w:rsid w:val="00662919"/>
    <w:rsid w:val="00671297"/>
    <w:rsid w:val="006756A7"/>
    <w:rsid w:val="00676E79"/>
    <w:rsid w:val="00680096"/>
    <w:rsid w:val="00684E8C"/>
    <w:rsid w:val="00686E72"/>
    <w:rsid w:val="00697131"/>
    <w:rsid w:val="00697588"/>
    <w:rsid w:val="00697B3D"/>
    <w:rsid w:val="006A7F17"/>
    <w:rsid w:val="006B5F31"/>
    <w:rsid w:val="006B6926"/>
    <w:rsid w:val="006C01A5"/>
    <w:rsid w:val="006C0BBA"/>
    <w:rsid w:val="006C1970"/>
    <w:rsid w:val="006C3AFC"/>
    <w:rsid w:val="006C4BE9"/>
    <w:rsid w:val="006E6A23"/>
    <w:rsid w:val="006E7E4E"/>
    <w:rsid w:val="006F0162"/>
    <w:rsid w:val="006F41C7"/>
    <w:rsid w:val="006F66FD"/>
    <w:rsid w:val="006F7945"/>
    <w:rsid w:val="007043EA"/>
    <w:rsid w:val="007060D1"/>
    <w:rsid w:val="00706C65"/>
    <w:rsid w:val="007102C7"/>
    <w:rsid w:val="00724C0B"/>
    <w:rsid w:val="007258F4"/>
    <w:rsid w:val="00733A3D"/>
    <w:rsid w:val="00735B2B"/>
    <w:rsid w:val="00737C9D"/>
    <w:rsid w:val="00743678"/>
    <w:rsid w:val="00744AA9"/>
    <w:rsid w:val="007476B0"/>
    <w:rsid w:val="007504EB"/>
    <w:rsid w:val="00751568"/>
    <w:rsid w:val="00760106"/>
    <w:rsid w:val="00773AFD"/>
    <w:rsid w:val="007770CB"/>
    <w:rsid w:val="007816F1"/>
    <w:rsid w:val="00784D8A"/>
    <w:rsid w:val="007865D6"/>
    <w:rsid w:val="007901A7"/>
    <w:rsid w:val="007A5ECD"/>
    <w:rsid w:val="007B08E3"/>
    <w:rsid w:val="007B4B69"/>
    <w:rsid w:val="007B66BD"/>
    <w:rsid w:val="007B7A36"/>
    <w:rsid w:val="007C5739"/>
    <w:rsid w:val="007C7AA0"/>
    <w:rsid w:val="007D47E2"/>
    <w:rsid w:val="007E287A"/>
    <w:rsid w:val="0080487A"/>
    <w:rsid w:val="00805723"/>
    <w:rsid w:val="00814F7B"/>
    <w:rsid w:val="008208D7"/>
    <w:rsid w:val="008304B1"/>
    <w:rsid w:val="008326CF"/>
    <w:rsid w:val="008337C3"/>
    <w:rsid w:val="008401FD"/>
    <w:rsid w:val="008416D1"/>
    <w:rsid w:val="0084634B"/>
    <w:rsid w:val="00847CCE"/>
    <w:rsid w:val="00850471"/>
    <w:rsid w:val="00850B0B"/>
    <w:rsid w:val="008525C3"/>
    <w:rsid w:val="00854437"/>
    <w:rsid w:val="008634D8"/>
    <w:rsid w:val="00867341"/>
    <w:rsid w:val="00870A9D"/>
    <w:rsid w:val="00873BE8"/>
    <w:rsid w:val="00873BFD"/>
    <w:rsid w:val="00875755"/>
    <w:rsid w:val="0087645C"/>
    <w:rsid w:val="00881A66"/>
    <w:rsid w:val="008832A1"/>
    <w:rsid w:val="00884C26"/>
    <w:rsid w:val="0089701F"/>
    <w:rsid w:val="008A57B7"/>
    <w:rsid w:val="008B1F89"/>
    <w:rsid w:val="008B21F5"/>
    <w:rsid w:val="008B4AB6"/>
    <w:rsid w:val="008B7992"/>
    <w:rsid w:val="008B7C2C"/>
    <w:rsid w:val="008C00B9"/>
    <w:rsid w:val="008C03F9"/>
    <w:rsid w:val="008C4AFB"/>
    <w:rsid w:val="008D1793"/>
    <w:rsid w:val="008D28A8"/>
    <w:rsid w:val="008E3BB3"/>
    <w:rsid w:val="008E5F4A"/>
    <w:rsid w:val="008E628D"/>
    <w:rsid w:val="008F1FCE"/>
    <w:rsid w:val="00902B4D"/>
    <w:rsid w:val="009073A7"/>
    <w:rsid w:val="00915DC2"/>
    <w:rsid w:val="00917B25"/>
    <w:rsid w:val="0092073F"/>
    <w:rsid w:val="00927609"/>
    <w:rsid w:val="00932CE5"/>
    <w:rsid w:val="0093336B"/>
    <w:rsid w:val="009459D7"/>
    <w:rsid w:val="00951AEC"/>
    <w:rsid w:val="0095421B"/>
    <w:rsid w:val="00961FC7"/>
    <w:rsid w:val="009669F2"/>
    <w:rsid w:val="00982275"/>
    <w:rsid w:val="00982673"/>
    <w:rsid w:val="00984B28"/>
    <w:rsid w:val="009935C4"/>
    <w:rsid w:val="00994EB2"/>
    <w:rsid w:val="009A270D"/>
    <w:rsid w:val="009A3F0D"/>
    <w:rsid w:val="009B1117"/>
    <w:rsid w:val="009B31DA"/>
    <w:rsid w:val="009B4BAF"/>
    <w:rsid w:val="009B5A9C"/>
    <w:rsid w:val="009B757B"/>
    <w:rsid w:val="009C4832"/>
    <w:rsid w:val="009D519E"/>
    <w:rsid w:val="009D700E"/>
    <w:rsid w:val="009D7E32"/>
    <w:rsid w:val="009E2003"/>
    <w:rsid w:val="009E6D65"/>
    <w:rsid w:val="009F286C"/>
    <w:rsid w:val="00A1519F"/>
    <w:rsid w:val="00A153F6"/>
    <w:rsid w:val="00A37177"/>
    <w:rsid w:val="00A3764D"/>
    <w:rsid w:val="00A47E0F"/>
    <w:rsid w:val="00A51199"/>
    <w:rsid w:val="00A52EF1"/>
    <w:rsid w:val="00A56D83"/>
    <w:rsid w:val="00A606E2"/>
    <w:rsid w:val="00A7752F"/>
    <w:rsid w:val="00A81989"/>
    <w:rsid w:val="00A90926"/>
    <w:rsid w:val="00A91C95"/>
    <w:rsid w:val="00AA5365"/>
    <w:rsid w:val="00AA6042"/>
    <w:rsid w:val="00AB17DC"/>
    <w:rsid w:val="00AB62E7"/>
    <w:rsid w:val="00AC3088"/>
    <w:rsid w:val="00AC6257"/>
    <w:rsid w:val="00AD6402"/>
    <w:rsid w:val="00AF2F01"/>
    <w:rsid w:val="00AF7224"/>
    <w:rsid w:val="00B06087"/>
    <w:rsid w:val="00B060D8"/>
    <w:rsid w:val="00B13418"/>
    <w:rsid w:val="00B27336"/>
    <w:rsid w:val="00B33641"/>
    <w:rsid w:val="00B3642C"/>
    <w:rsid w:val="00B37D86"/>
    <w:rsid w:val="00B639C6"/>
    <w:rsid w:val="00B647CB"/>
    <w:rsid w:val="00B70F36"/>
    <w:rsid w:val="00B71824"/>
    <w:rsid w:val="00B7403C"/>
    <w:rsid w:val="00B85D99"/>
    <w:rsid w:val="00B9538F"/>
    <w:rsid w:val="00BA18ED"/>
    <w:rsid w:val="00BA1B78"/>
    <w:rsid w:val="00BA1F92"/>
    <w:rsid w:val="00BB0AA9"/>
    <w:rsid w:val="00BB278D"/>
    <w:rsid w:val="00BB2D8B"/>
    <w:rsid w:val="00BC08E1"/>
    <w:rsid w:val="00BC493F"/>
    <w:rsid w:val="00BD08B9"/>
    <w:rsid w:val="00BE11C8"/>
    <w:rsid w:val="00BE4981"/>
    <w:rsid w:val="00BE5733"/>
    <w:rsid w:val="00BF26C3"/>
    <w:rsid w:val="00BF40F7"/>
    <w:rsid w:val="00C03B1D"/>
    <w:rsid w:val="00C06B8C"/>
    <w:rsid w:val="00C077AA"/>
    <w:rsid w:val="00C14744"/>
    <w:rsid w:val="00C15B6D"/>
    <w:rsid w:val="00C15C0B"/>
    <w:rsid w:val="00C30FD1"/>
    <w:rsid w:val="00C32298"/>
    <w:rsid w:val="00C34CBC"/>
    <w:rsid w:val="00C34EFD"/>
    <w:rsid w:val="00C37FB5"/>
    <w:rsid w:val="00C43B41"/>
    <w:rsid w:val="00C4668F"/>
    <w:rsid w:val="00C4709D"/>
    <w:rsid w:val="00C56E84"/>
    <w:rsid w:val="00C643D8"/>
    <w:rsid w:val="00C73242"/>
    <w:rsid w:val="00C7788E"/>
    <w:rsid w:val="00C91732"/>
    <w:rsid w:val="00C91C28"/>
    <w:rsid w:val="00C938C9"/>
    <w:rsid w:val="00CB0C2F"/>
    <w:rsid w:val="00CC345A"/>
    <w:rsid w:val="00CC67B6"/>
    <w:rsid w:val="00CD01C9"/>
    <w:rsid w:val="00CD4673"/>
    <w:rsid w:val="00CE47E2"/>
    <w:rsid w:val="00CF09B0"/>
    <w:rsid w:val="00CF529B"/>
    <w:rsid w:val="00D00C44"/>
    <w:rsid w:val="00D14799"/>
    <w:rsid w:val="00D2193B"/>
    <w:rsid w:val="00D22FBE"/>
    <w:rsid w:val="00D266E9"/>
    <w:rsid w:val="00D364CA"/>
    <w:rsid w:val="00D37AA5"/>
    <w:rsid w:val="00D518A2"/>
    <w:rsid w:val="00D55854"/>
    <w:rsid w:val="00D66839"/>
    <w:rsid w:val="00D67882"/>
    <w:rsid w:val="00D713A6"/>
    <w:rsid w:val="00D74369"/>
    <w:rsid w:val="00D80DFC"/>
    <w:rsid w:val="00D837C8"/>
    <w:rsid w:val="00D91F74"/>
    <w:rsid w:val="00D92EEA"/>
    <w:rsid w:val="00D92FBA"/>
    <w:rsid w:val="00DA08B5"/>
    <w:rsid w:val="00DA4687"/>
    <w:rsid w:val="00DB340F"/>
    <w:rsid w:val="00DB5FD8"/>
    <w:rsid w:val="00DB714E"/>
    <w:rsid w:val="00DC0F8D"/>
    <w:rsid w:val="00DC1ADE"/>
    <w:rsid w:val="00DC7F75"/>
    <w:rsid w:val="00DD106A"/>
    <w:rsid w:val="00DD1DB9"/>
    <w:rsid w:val="00DD4EA3"/>
    <w:rsid w:val="00DE148B"/>
    <w:rsid w:val="00DF577C"/>
    <w:rsid w:val="00E14F03"/>
    <w:rsid w:val="00E165FD"/>
    <w:rsid w:val="00E220D4"/>
    <w:rsid w:val="00E24F4C"/>
    <w:rsid w:val="00E2589E"/>
    <w:rsid w:val="00E26A3C"/>
    <w:rsid w:val="00E3346A"/>
    <w:rsid w:val="00E41754"/>
    <w:rsid w:val="00E473B0"/>
    <w:rsid w:val="00E562BD"/>
    <w:rsid w:val="00E5686C"/>
    <w:rsid w:val="00E62DDC"/>
    <w:rsid w:val="00E64BB8"/>
    <w:rsid w:val="00E76292"/>
    <w:rsid w:val="00E772BD"/>
    <w:rsid w:val="00E8027C"/>
    <w:rsid w:val="00E82A32"/>
    <w:rsid w:val="00E85415"/>
    <w:rsid w:val="00E87B97"/>
    <w:rsid w:val="00EA763F"/>
    <w:rsid w:val="00EB28B2"/>
    <w:rsid w:val="00EB4A1F"/>
    <w:rsid w:val="00EB54C7"/>
    <w:rsid w:val="00EB7D33"/>
    <w:rsid w:val="00EC04AE"/>
    <w:rsid w:val="00EC409B"/>
    <w:rsid w:val="00EC7813"/>
    <w:rsid w:val="00ED1665"/>
    <w:rsid w:val="00ED1ADA"/>
    <w:rsid w:val="00ED1BDC"/>
    <w:rsid w:val="00EE0786"/>
    <w:rsid w:val="00EE2260"/>
    <w:rsid w:val="00EE2273"/>
    <w:rsid w:val="00EE2C4F"/>
    <w:rsid w:val="00EE7367"/>
    <w:rsid w:val="00EE7506"/>
    <w:rsid w:val="00EF4C32"/>
    <w:rsid w:val="00F00C2F"/>
    <w:rsid w:val="00F0350E"/>
    <w:rsid w:val="00F06A8D"/>
    <w:rsid w:val="00F12F30"/>
    <w:rsid w:val="00F14E13"/>
    <w:rsid w:val="00F161EF"/>
    <w:rsid w:val="00F16EB2"/>
    <w:rsid w:val="00F250E6"/>
    <w:rsid w:val="00F27448"/>
    <w:rsid w:val="00F32F96"/>
    <w:rsid w:val="00F37644"/>
    <w:rsid w:val="00F449B2"/>
    <w:rsid w:val="00F472BF"/>
    <w:rsid w:val="00F54FD5"/>
    <w:rsid w:val="00F624F7"/>
    <w:rsid w:val="00F65462"/>
    <w:rsid w:val="00F66090"/>
    <w:rsid w:val="00F7003B"/>
    <w:rsid w:val="00F812FD"/>
    <w:rsid w:val="00F82D1B"/>
    <w:rsid w:val="00F8618C"/>
    <w:rsid w:val="00F87E0A"/>
    <w:rsid w:val="00F93A7A"/>
    <w:rsid w:val="00F9677A"/>
    <w:rsid w:val="00FA3F76"/>
    <w:rsid w:val="00FA576D"/>
    <w:rsid w:val="00FA62B5"/>
    <w:rsid w:val="00FB2599"/>
    <w:rsid w:val="00FB6F99"/>
    <w:rsid w:val="00FD0CB5"/>
    <w:rsid w:val="00FD7B89"/>
    <w:rsid w:val="00FE0721"/>
    <w:rsid w:val="00FE46A2"/>
    <w:rsid w:val="00FE65CA"/>
    <w:rsid w:val="00FE7FC3"/>
    <w:rsid w:val="00FF624D"/>
    <w:rsid w:val="00FF723F"/>
    <w:rsid w:val="093FC75E"/>
    <w:rsid w:val="0E380107"/>
    <w:rsid w:val="198F7ACA"/>
    <w:rsid w:val="1995E21D"/>
    <w:rsid w:val="1E7951C3"/>
    <w:rsid w:val="20152224"/>
    <w:rsid w:val="22D1F31A"/>
    <w:rsid w:val="28F1C417"/>
    <w:rsid w:val="2AC5E5B5"/>
    <w:rsid w:val="2E0651F8"/>
    <w:rsid w:val="2FA22259"/>
    <w:rsid w:val="30BB3241"/>
    <w:rsid w:val="313DF2BA"/>
    <w:rsid w:val="31E83C93"/>
    <w:rsid w:val="3AAE5A55"/>
    <w:rsid w:val="4A9AE22C"/>
    <w:rsid w:val="6E967953"/>
    <w:rsid w:val="766C5B7D"/>
    <w:rsid w:val="7A4B85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3E01D"/>
  <w15:docId w15:val="{A9FAF6FA-AA71-4276-A401-BAA0F8A4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2"/>
      <w:lang w:eastAsia="en-US"/>
    </w:rPr>
  </w:style>
  <w:style w:type="paragraph" w:styleId="Heading1">
    <w:name w:val="heading 1"/>
    <w:basedOn w:val="Normal"/>
    <w:next w:val="Normal"/>
    <w:link w:val="Heading1Char"/>
    <w:uiPriority w:val="9"/>
    <w:qFormat/>
    <w:pPr>
      <w:keepNext/>
      <w:numPr>
        <w:numId w:val="11"/>
      </w:numPr>
      <w:tabs>
        <w:tab w:val="clear" w:pos="432"/>
        <w:tab w:val="left" w:pos="720"/>
      </w:tabs>
      <w:ind w:left="720" w:hanging="720"/>
      <w:outlineLvl w:val="0"/>
    </w:pPr>
    <w:rPr>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b/>
      <w:iCs/>
      <w:szCs w:val="28"/>
    </w:rPr>
  </w:style>
  <w:style w:type="paragraph" w:styleId="Heading3">
    <w:name w:val="heading 3"/>
    <w:basedOn w:val="Normal"/>
    <w:next w:val="Normal"/>
    <w:qFormat/>
    <w:pPr>
      <w:keepNext/>
      <w:numPr>
        <w:ilvl w:val="2"/>
        <w:numId w:val="11"/>
      </w:numPr>
      <w:outlineLvl w:val="2"/>
    </w:pPr>
    <w:rPr>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ext">
    <w:name w:val="Report text"/>
    <w:basedOn w:val="Normal"/>
    <w:pPr>
      <w:overflowPunct w:val="0"/>
      <w:autoSpaceDE w:val="0"/>
      <w:autoSpaceDN w:val="0"/>
      <w:adjustRightInd w:val="0"/>
      <w:textAlignment w:val="baseline"/>
    </w:pPr>
    <w:rPr>
      <w:rFonts w:cs="Times New Roman"/>
      <w:szCs w:val="20"/>
      <w:lang w:val="en-US"/>
    </w:rPr>
  </w:style>
  <w:style w:type="paragraph" w:customStyle="1" w:styleId="Normal1">
    <w:name w:val="Normal1"/>
    <w:basedOn w:val="Normal"/>
    <w:pPr>
      <w:spacing w:before="120" w:after="100" w:afterAutospacing="1"/>
    </w:pPr>
    <w:rPr>
      <w:rFonts w:cs="Times New Roman"/>
      <w:iCs/>
      <w:szCs w:val="24"/>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ListParagraph">
    <w:name w:val="List Paragraph"/>
    <w:basedOn w:val="Normal"/>
    <w:uiPriority w:val="34"/>
    <w:qFormat/>
    <w:rsid w:val="00684E8C"/>
    <w:pPr>
      <w:ind w:left="720"/>
      <w:contextualSpacing/>
    </w:pPr>
  </w:style>
  <w:style w:type="character" w:customStyle="1" w:styleId="HeaderChar">
    <w:name w:val="Header Char"/>
    <w:link w:val="Header"/>
    <w:uiPriority w:val="99"/>
    <w:rsid w:val="0092073F"/>
    <w:rPr>
      <w:rFonts w:ascii="Arial" w:hAnsi="Arial" w:cs="Arial"/>
      <w:sz w:val="24"/>
      <w:szCs w:val="22"/>
      <w:lang w:eastAsia="en-US"/>
    </w:rPr>
  </w:style>
  <w:style w:type="character" w:styleId="PlaceholderText">
    <w:name w:val="Placeholder Text"/>
    <w:uiPriority w:val="99"/>
    <w:semiHidden/>
    <w:rsid w:val="00B639C6"/>
    <w:rPr>
      <w:color w:val="808080"/>
    </w:rPr>
  </w:style>
  <w:style w:type="paragraph" w:styleId="FootnoteText">
    <w:name w:val="footnote text"/>
    <w:basedOn w:val="Normal"/>
    <w:link w:val="FootnoteTextChar"/>
    <w:semiHidden/>
    <w:unhideWhenUsed/>
    <w:rsid w:val="00B639C6"/>
    <w:rPr>
      <w:sz w:val="20"/>
      <w:szCs w:val="20"/>
    </w:rPr>
  </w:style>
  <w:style w:type="character" w:customStyle="1" w:styleId="FootnoteTextChar">
    <w:name w:val="Footnote Text Char"/>
    <w:link w:val="FootnoteText"/>
    <w:semiHidden/>
    <w:rsid w:val="00B639C6"/>
    <w:rPr>
      <w:rFonts w:ascii="Arial" w:hAnsi="Arial" w:cs="Arial"/>
      <w:lang w:eastAsia="en-US"/>
    </w:rPr>
  </w:style>
  <w:style w:type="character" w:styleId="FootnoteReference">
    <w:name w:val="footnote reference"/>
    <w:semiHidden/>
    <w:unhideWhenUsed/>
    <w:rsid w:val="00B639C6"/>
    <w:rPr>
      <w:vertAlign w:val="superscript"/>
    </w:rPr>
  </w:style>
  <w:style w:type="paragraph" w:styleId="BalloonText">
    <w:name w:val="Balloon Text"/>
    <w:basedOn w:val="Normal"/>
    <w:link w:val="BalloonTextChar"/>
    <w:rsid w:val="00A153F6"/>
    <w:rPr>
      <w:rFonts w:ascii="Tahoma" w:hAnsi="Tahoma" w:cs="Tahoma"/>
      <w:sz w:val="16"/>
      <w:szCs w:val="16"/>
    </w:rPr>
  </w:style>
  <w:style w:type="character" w:customStyle="1" w:styleId="BalloonTextChar">
    <w:name w:val="Balloon Text Char"/>
    <w:basedOn w:val="DefaultParagraphFont"/>
    <w:link w:val="BalloonText"/>
    <w:rsid w:val="00A153F6"/>
    <w:rPr>
      <w:rFonts w:ascii="Tahoma" w:hAnsi="Tahoma" w:cs="Tahoma"/>
      <w:sz w:val="16"/>
      <w:szCs w:val="16"/>
      <w:lang w:eastAsia="en-US"/>
    </w:rPr>
  </w:style>
  <w:style w:type="table" w:customStyle="1" w:styleId="TableGrid2">
    <w:name w:val="Table Grid2"/>
    <w:basedOn w:val="TableNormal"/>
    <w:next w:val="TableGrid"/>
    <w:rsid w:val="00F87E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3418"/>
    <w:rPr>
      <w:sz w:val="16"/>
      <w:szCs w:val="16"/>
    </w:rPr>
  </w:style>
  <w:style w:type="paragraph" w:styleId="CommentText">
    <w:name w:val="annotation text"/>
    <w:basedOn w:val="Normal"/>
    <w:link w:val="CommentTextChar"/>
    <w:uiPriority w:val="99"/>
    <w:unhideWhenUsed/>
    <w:rsid w:val="00B1341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1341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DC1ADE"/>
    <w:pPr>
      <w:spacing w:after="0"/>
    </w:pPr>
    <w:rPr>
      <w:rFonts w:ascii="Arial" w:eastAsia="Times New Roman" w:hAnsi="Arial" w:cs="Arial"/>
      <w:b/>
      <w:bCs/>
    </w:rPr>
  </w:style>
  <w:style w:type="character" w:customStyle="1" w:styleId="CommentSubjectChar">
    <w:name w:val="Comment Subject Char"/>
    <w:basedOn w:val="CommentTextChar"/>
    <w:link w:val="CommentSubject"/>
    <w:semiHidden/>
    <w:rsid w:val="00DC1ADE"/>
    <w:rPr>
      <w:rFonts w:ascii="Arial" w:eastAsiaTheme="minorHAnsi" w:hAnsi="Arial" w:cs="Arial"/>
      <w:b/>
      <w:bCs/>
      <w:lang w:eastAsia="en-US"/>
    </w:rPr>
  </w:style>
  <w:style w:type="paragraph" w:styleId="Revision">
    <w:name w:val="Revision"/>
    <w:hidden/>
    <w:uiPriority w:val="99"/>
    <w:semiHidden/>
    <w:rsid w:val="002E731B"/>
    <w:rPr>
      <w:rFonts w:ascii="Arial" w:hAnsi="Arial" w:cs="Arial"/>
      <w:sz w:val="24"/>
      <w:szCs w:val="22"/>
      <w:lang w:eastAsia="en-US"/>
    </w:rPr>
  </w:style>
  <w:style w:type="character" w:customStyle="1" w:styleId="Heading1Char">
    <w:name w:val="Heading 1 Char"/>
    <w:basedOn w:val="DefaultParagraphFont"/>
    <w:link w:val="Heading1"/>
    <w:uiPriority w:val="9"/>
    <w:rsid w:val="008208D7"/>
    <w:rPr>
      <w:rFonts w:ascii="Arial" w:hAnsi="Arial" w:cs="Arial"/>
      <w:b/>
      <w:kern w:val="32"/>
      <w:sz w:val="24"/>
      <w:szCs w:val="32"/>
      <w:lang w:eastAsia="en-US"/>
    </w:rPr>
  </w:style>
  <w:style w:type="paragraph" w:styleId="Bibliography">
    <w:name w:val="Bibliography"/>
    <w:basedOn w:val="Normal"/>
    <w:next w:val="Normal"/>
    <w:uiPriority w:val="37"/>
    <w:unhideWhenUsed/>
    <w:rsid w:val="008208D7"/>
  </w:style>
  <w:style w:type="character" w:customStyle="1" w:styleId="cf01">
    <w:name w:val="cf01"/>
    <w:basedOn w:val="DefaultParagraphFont"/>
    <w:rsid w:val="00C938C9"/>
    <w:rPr>
      <w:rFonts w:ascii="Segoe UI" w:hAnsi="Segoe UI" w:cs="Segoe UI" w:hint="default"/>
      <w:sz w:val="18"/>
      <w:szCs w:val="18"/>
    </w:rPr>
  </w:style>
  <w:style w:type="character" w:styleId="Hyperlink">
    <w:name w:val="Hyperlink"/>
    <w:basedOn w:val="DefaultParagraphFont"/>
    <w:unhideWhenUsed/>
    <w:rsid w:val="003C05B4"/>
    <w:rPr>
      <w:color w:val="0000FF" w:themeColor="hyperlink"/>
      <w:u w:val="single"/>
    </w:rPr>
  </w:style>
  <w:style w:type="character" w:styleId="UnresolvedMention">
    <w:name w:val="Unresolved Mention"/>
    <w:basedOn w:val="DefaultParagraphFont"/>
    <w:uiPriority w:val="99"/>
    <w:semiHidden/>
    <w:unhideWhenUsed/>
    <w:rsid w:val="003C0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404571082">
      <w:bodyDiv w:val="1"/>
      <w:marLeft w:val="0"/>
      <w:marRight w:val="0"/>
      <w:marTop w:val="0"/>
      <w:marBottom w:val="0"/>
      <w:divBdr>
        <w:top w:val="none" w:sz="0" w:space="0" w:color="auto"/>
        <w:left w:val="none" w:sz="0" w:space="0" w:color="auto"/>
        <w:bottom w:val="none" w:sz="0" w:space="0" w:color="auto"/>
        <w:right w:val="none" w:sz="0" w:space="0" w:color="auto"/>
      </w:divBdr>
    </w:div>
    <w:div w:id="439689387">
      <w:bodyDiv w:val="1"/>
      <w:marLeft w:val="0"/>
      <w:marRight w:val="0"/>
      <w:marTop w:val="0"/>
      <w:marBottom w:val="0"/>
      <w:divBdr>
        <w:top w:val="none" w:sz="0" w:space="0" w:color="auto"/>
        <w:left w:val="none" w:sz="0" w:space="0" w:color="auto"/>
        <w:bottom w:val="none" w:sz="0" w:space="0" w:color="auto"/>
        <w:right w:val="none" w:sz="0" w:space="0" w:color="auto"/>
      </w:divBdr>
    </w:div>
    <w:div w:id="701134676">
      <w:bodyDiv w:val="1"/>
      <w:marLeft w:val="0"/>
      <w:marRight w:val="0"/>
      <w:marTop w:val="0"/>
      <w:marBottom w:val="0"/>
      <w:divBdr>
        <w:top w:val="none" w:sz="0" w:space="0" w:color="auto"/>
        <w:left w:val="none" w:sz="0" w:space="0" w:color="auto"/>
        <w:bottom w:val="none" w:sz="0" w:space="0" w:color="auto"/>
        <w:right w:val="none" w:sz="0" w:space="0" w:color="auto"/>
      </w:divBdr>
    </w:div>
    <w:div w:id="1041708699">
      <w:bodyDiv w:val="1"/>
      <w:marLeft w:val="0"/>
      <w:marRight w:val="0"/>
      <w:marTop w:val="0"/>
      <w:marBottom w:val="0"/>
      <w:divBdr>
        <w:top w:val="none" w:sz="0" w:space="0" w:color="auto"/>
        <w:left w:val="none" w:sz="0" w:space="0" w:color="auto"/>
        <w:bottom w:val="none" w:sz="0" w:space="0" w:color="auto"/>
        <w:right w:val="none" w:sz="0" w:space="0" w:color="auto"/>
      </w:divBdr>
    </w:div>
    <w:div w:id="1082526895">
      <w:bodyDiv w:val="1"/>
      <w:marLeft w:val="0"/>
      <w:marRight w:val="0"/>
      <w:marTop w:val="0"/>
      <w:marBottom w:val="0"/>
      <w:divBdr>
        <w:top w:val="none" w:sz="0" w:space="0" w:color="auto"/>
        <w:left w:val="none" w:sz="0" w:space="0" w:color="auto"/>
        <w:bottom w:val="none" w:sz="0" w:space="0" w:color="auto"/>
        <w:right w:val="none" w:sz="0" w:space="0" w:color="auto"/>
      </w:divBdr>
    </w:div>
    <w:div w:id="1377579956">
      <w:bodyDiv w:val="1"/>
      <w:marLeft w:val="0"/>
      <w:marRight w:val="0"/>
      <w:marTop w:val="0"/>
      <w:marBottom w:val="0"/>
      <w:divBdr>
        <w:top w:val="none" w:sz="0" w:space="0" w:color="auto"/>
        <w:left w:val="none" w:sz="0" w:space="0" w:color="auto"/>
        <w:bottom w:val="none" w:sz="0" w:space="0" w:color="auto"/>
        <w:right w:val="none" w:sz="0" w:space="0" w:color="auto"/>
      </w:divBdr>
    </w:div>
    <w:div w:id="17907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aea.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iaea.org" TargetMode="External"/><Relationship Id="rId17" Type="http://schemas.openxmlformats.org/officeDocument/2006/relationships/hyperlink" Target="http://www.onr.org.uk/operational/tech_asst_guides/index.htm" TargetMode="External"/><Relationship Id="rId2" Type="http://schemas.openxmlformats.org/officeDocument/2006/relationships/customXml" Target="../customXml/item2.xml"/><Relationship Id="rId16" Type="http://schemas.openxmlformats.org/officeDocument/2006/relationships/hyperlink" Target="http://www.iaea.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aea.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enra.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b:Source>
    <b:Tag>2021</b:Tag>
    <b:SourceType>Report</b:SourceType>
    <b:Guid>{CD5AFA85-F049-4F2C-898B-2BFDB593B8E5}</b:Guid>
    <b:Title>(2023/20545)   </b:Title>
    <b:RefOrder>1</b:RefOrder>
  </b:Source>
  <b:Source>
    <b:Tag>IAE4</b:Tag>
    <b:SourceType>Report</b:SourceType>
    <b:Guid>{B4A9B3B4-66DD-40E4-A3FB-59D07F2BD04F}</b:Guid>
    <b:Title>IAEA Specific Safety Guide 3 on Level 1 PSA </b:Title>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2BFD813B9BA5F84C8E4BDD131736DF68" ma:contentTypeVersion="26" ma:contentTypeDescription="Create a new document." ma:contentTypeScope="" ma:versionID="965bff81f2e83740370e756047b8b784">
  <xsd:schema xmlns:xsd="http://www.w3.org/2001/XMLSchema" xmlns:xs="http://www.w3.org/2001/XMLSchema" xmlns:p="http://schemas.microsoft.com/office/2006/metadata/properties" xmlns:ns2="f6cfbbfa-3ea0-4d8e-acde-632e83cd9c55" xmlns:ns3="6ee01a08-9bb3-4510-887c-4508c532eb2e" targetNamespace="http://schemas.microsoft.com/office/2006/metadata/properties" ma:root="true" ma:fieldsID="7222b2b079bd256d141eb51d90ea6042" ns2:_="" ns3:_="">
    <xsd:import namespace="f6cfbbfa-3ea0-4d8e-acde-632e83cd9c55"/>
    <xsd:import namespace="6ee01a08-9bb3-4510-887c-4508c532eb2e"/>
    <xsd:element name="properties">
      <xsd:complexType>
        <xsd:sequence>
          <xsd:element name="documentManagement">
            <xsd:complexType>
              <xsd:all>
                <xsd:element ref="ns2:_dlc_DocIdUrl" minOccurs="0"/>
                <xsd:element ref="ns2:Document_x0020_Type" minOccurs="0"/>
                <xsd:element ref="ns2:Dutyholder" minOccurs="0"/>
                <xsd:element ref="ns2:External_x0020_Reference" minOccurs="0"/>
                <xsd:element ref="ns2:Record_x0020_Number" minOccurs="0"/>
                <xsd:element ref="ns2:Site" minOccurs="0"/>
                <xsd:element ref="ns3:_Flow_SignoffStatus" minOccurs="0"/>
                <xsd:element ref="ns2:Division" minOccurs="0"/>
                <xsd:element ref="ns2:External_x0020_Revision" minOccurs="0"/>
                <xsd:element ref="ns2:Subdivision" minOccurs="0"/>
                <xsd:element ref="ns2:_dlc_Doc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_dlc_DocIdPersistId" minOccurs="0"/>
                <xsd:element ref="ns2:SharedWithUsers" minOccurs="0"/>
                <xsd:element ref="ns2:SharedWithDetails" minOccurs="0"/>
                <xsd:element ref="ns2:GDA_x0020_Purpose" minOccurs="0"/>
                <xsd:element ref="ns2:GDA_x0020_RP_x0020_Assigned_x0020_Export_x0020_Control" minOccurs="0"/>
                <xsd:element ref="ns2:GDA_x0020_Tier" minOccurs="0"/>
                <xsd:element ref="ns2:GDA_x0020_Topic"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3" nillable="true" ma:displayName="Document Type" ma:format="Dropdown" ma:internalName="Document_x0020_Type" ma:readOnly="false">
      <xsd:simpleType>
        <xsd:restriction base="dms:Choice">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Other"/>
        </xsd:restriction>
      </xsd:simpleType>
    </xsd:element>
    <xsd:element name="Dutyholder" ma:index="4" nillable="true" ma:displayName="Dutyholder" ma:default="" ma:internalName="Dutyholder" ma:readOnly="false">
      <xsd:simpleType>
        <xsd:restriction base="dms:Text">
          <xsd:maxLength value="255"/>
        </xsd:restriction>
      </xsd:simpleType>
    </xsd:element>
    <xsd:element name="External_x0020_Reference" ma:index="5" nillable="true" ma:displayName="External Reference" ma:default="" ma:internalName="External_x0020_Referenc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Site" ma:index="7" nillable="true" ma:displayName="Site" ma:default="" ma:internalName="Site" ma:readOnly="false">
      <xsd:simpleType>
        <xsd:restriction base="dms:Text">
          <xsd:maxLength value="255"/>
        </xsd:restriction>
      </xsd:simpleType>
    </xsd:element>
    <xsd:element name="Division" ma:index="11" nillable="true" ma:displayName="Division" ma:default="" ma:internalName="Division" ma:readOnly="false">
      <xsd:simpleType>
        <xsd:restriction base="dms:Text">
          <xsd:maxLength value="255"/>
        </xsd:restriction>
      </xsd:simpleType>
    </xsd:element>
    <xsd:element name="External_x0020_Revision" ma:index="12" nillable="true" ma:displayName="External Revision" ma:default="" ma:internalName="External_x0020_Revision" ma:readOnly="false">
      <xsd:simpleType>
        <xsd:restriction base="dms:Text">
          <xsd:maxLength value="255"/>
        </xsd:restriction>
      </xsd:simpleType>
    </xsd:element>
    <xsd:element name="Subdivision" ma:index="13" nillable="true" ma:displayName="Subdivision" ma:default="" ma:internalName="Subdivision" ma:readOnly="false">
      <xsd:simpleType>
        <xsd:restriction base="dms:Text">
          <xsd:maxLength value="255"/>
        </xsd:restriction>
      </xsd:simpleType>
    </xsd:element>
    <xsd:element name="_dlc_DocId" ma:index="16" nillable="true" ma:displayName="Document ID Value" ma:description="The value of the document ID assigned to this item." ma:hidden="true" ma:indexed="true" ma:internalName="_dlc_DocId" ma:readOnly="false">
      <xsd:simpleType>
        <xsd:restriction base="dms:Text"/>
      </xsd:simpleType>
    </xsd:element>
    <xsd:element name="TaxCatchAll" ma:index="21"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GDA_x0020_Purpose" ma:index="28" nillable="true" ma:displayName="GDA Purpose" ma:format="Dropdown" ma:hidden="true" ma:internalName="GDA_x0020_Purpose" ma:readOnly="false">
      <xsd:simpleType>
        <xsd:restriction base="dms:Choice">
          <xsd:enumeration value="Project"/>
          <xsd:enumeration value="Safety"/>
          <xsd:enumeration value="Security"/>
          <xsd:enumeration value="Safeguards"/>
          <xsd:enumeration value="Environment or General"/>
        </xsd:restriction>
      </xsd:simpleType>
    </xsd:element>
    <xsd:element name="GDA_x0020_RP_x0020_Assigned_x0020_Export_x0020_Control" ma:index="29" nillable="true" ma:displayName="GDA RP Assigned Export Control" ma:default="" ma:hidden="true" ma:internalName="GDA_x0020_RP_x0020_Assigned_x0020_Export_x0020_Control" ma:readOnly="false">
      <xsd:simpleType>
        <xsd:restriction base="dms:Text">
          <xsd:maxLength value="255"/>
        </xsd:restriction>
      </xsd:simpleType>
    </xsd:element>
    <xsd:element name="GDA_x0020_Tier" ma:index="30" nillable="true" ma:displayName="GDA Tier" ma:default="" ma:format="Dropdown" ma:hidden="true" ma:internalName="GDA_x0020_Tier" ma:readOnly="false">
      <xsd:simpleType>
        <xsd:restriction base="dms:Choice">
          <xsd:enumeration value="1"/>
          <xsd:enumeration value="2"/>
          <xsd:enumeration value="3"/>
          <xsd:enumeration value="4"/>
        </xsd:restriction>
      </xsd:simpleType>
    </xsd:element>
    <xsd:element name="GDA_x0020_Topic" ma:index="31" nillable="true" ma:displayName="GDA Topic" ma:format="Dropdown" ma:hidden="true" ma:internalName="GDA_x0020_Topic" ma:readOnly="false">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restriction>
      </xsd:simpleType>
    </xsd:element>
  </xsd:schema>
  <xsd:schema xmlns:xsd="http://www.w3.org/2001/XMLSchema" xmlns:xs="http://www.w3.org/2001/XMLSchema" xmlns:dms="http://schemas.microsoft.com/office/2006/documentManagement/types" xmlns:pc="http://schemas.microsoft.com/office/infopath/2007/PartnerControls" targetNamespace="6ee01a08-9bb3-4510-887c-4508c532eb2e" elementFormDefault="qualified">
    <xsd:import namespace="http://schemas.microsoft.com/office/2006/documentManagement/types"/>
    <xsd:import namespace="http://schemas.microsoft.com/office/infopath/2007/PartnerControls"/>
    <xsd:element name="_Flow_SignoffStatus" ma:index="10"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cfbbfa-3ea0-4d8e-acde-632e83cd9c55" xsi:nil="true"/>
    <_dlc_DocId xmlns="f6cfbbfa-3ea0-4d8e-acde-632e83cd9c55">ONRW-2126615823-1172</_dlc_DocId>
    <_dlc_DocIdUrl xmlns="f6cfbbfa-3ea0-4d8e-acde-632e83cd9c55">
      <Url>https://prodonrgov.sharepoint.com/_layouts/15/DocIdRedir.aspx?ID=ONRW-2126615823-1172</Url>
      <Description>ONRW-2126615823-1172</Description>
    </_dlc_DocIdUrl>
    <Document_x0020_Type xmlns="f6cfbbfa-3ea0-4d8e-acde-632e83cd9c55" xsi:nil="true"/>
    <External_x0020_Reference xmlns="f6cfbbfa-3ea0-4d8e-acde-632e83cd9c55" xsi:nil="true"/>
    <Site xmlns="f6cfbbfa-3ea0-4d8e-acde-632e83cd9c55" xsi:nil="true"/>
    <_Flow_SignoffStatus xmlns="6ee01a08-9bb3-4510-887c-4508c532eb2e" xsi:nil="true"/>
    <External_x0020_Revision xmlns="f6cfbbfa-3ea0-4d8e-acde-632e83cd9c55" xsi:nil="true"/>
    <GDA_x0020_Tier xmlns="f6cfbbfa-3ea0-4d8e-acde-632e83cd9c55" xsi:nil="true"/>
    <Record_x0020_Number xmlns="f6cfbbfa-3ea0-4d8e-acde-632e83cd9c55" xsi:nil="true"/>
    <_dlc_DocIdPersistId xmlns="f6cfbbfa-3ea0-4d8e-acde-632e83cd9c55" xsi:nil="true"/>
    <GDA_x0020_RP_x0020_Assigned_x0020_Export_x0020_Control xmlns="f6cfbbfa-3ea0-4d8e-acde-632e83cd9c55" xsi:nil="true"/>
    <GDA_x0020_Topic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 xsi:nil="true"/>
    <lcf76f155ced4ddcb4097134ff3c332f xmlns="6ee01a08-9bb3-4510-887c-4508c532eb2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249D3-5E4B-465F-93AF-46D391F33B5B}">
  <ds:schemaRefs>
    <ds:schemaRef ds:uri="http://schemas.microsoft.com/sharepoint/events"/>
  </ds:schemaRefs>
</ds:datastoreItem>
</file>

<file path=customXml/itemProps2.xml><?xml version="1.0" encoding="utf-8"?>
<ds:datastoreItem xmlns:ds="http://schemas.openxmlformats.org/officeDocument/2006/customXml" ds:itemID="{F2F80F07-072F-4182-AA6E-451CFE9E83C7}">
  <ds:schemaRefs>
    <ds:schemaRef ds:uri="http://schemas.openxmlformats.org/officeDocument/2006/bibliography"/>
  </ds:schemaRefs>
</ds:datastoreItem>
</file>

<file path=customXml/itemProps3.xml><?xml version="1.0" encoding="utf-8"?>
<ds:datastoreItem xmlns:ds="http://schemas.openxmlformats.org/officeDocument/2006/customXml" ds:itemID="{943141DA-2EC0-45EF-A8F1-3DC6B0349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6ee01a08-9bb3-4510-887c-4508c532e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5780F-2889-4DD7-8F85-E0FC5CD85289}">
  <ds:schemaRefs>
    <ds:schemaRef ds:uri="http://schemas.microsoft.com/office/2006/metadata/properties"/>
    <ds:schemaRef ds:uri="http://schemas.microsoft.com/office/infopath/2007/PartnerControls"/>
    <ds:schemaRef ds:uri="f6cfbbfa-3ea0-4d8e-acde-632e83cd9c55"/>
    <ds:schemaRef ds:uri="6ee01a08-9bb3-4510-887c-4508c532eb2e"/>
  </ds:schemaRefs>
</ds:datastoreItem>
</file>

<file path=customXml/itemProps5.xml><?xml version="1.0" encoding="utf-8"?>
<ds:datastoreItem xmlns:ds="http://schemas.openxmlformats.org/officeDocument/2006/customXml" ds:itemID="{8CFC80CF-4684-40D0-8E8F-1216B2034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2047</Words>
  <Characters>11136</Characters>
  <Application>Microsoft Office Word</Application>
  <DocSecurity>0</DocSecurity>
  <Lines>92</Lines>
  <Paragraphs>26</Paragraphs>
  <ScaleCrop>false</ScaleCrop>
  <Company>Health and Safety Executive</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 Regulatory Observation</dc:title>
  <dc:subject/>
  <cp:keywords/>
  <dc:description/>
  <cp:lastPrinted>2017-10-03T10:43:00Z</cp:lastPrinted>
  <dcterms:created xsi:type="dcterms:W3CDTF">2023-08-23T08:07:00Z</dcterms:created>
  <dcterms:modified xsi:type="dcterms:W3CDTF">2023-11-14T08:57:00Z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0x0101002BFD813B9BA5F84C8E4BDD131736DF68</vt:lpwstr>
  </property>
  <property fmtid="{D5CDD505-2E9C-101B-9397-08002B2CF9AE}" pid="4" name="_dlc_DocIdItemGuid">
    <vt:lpwstr>d1a3582a-c3dd-44c8-bd75-eaf5f027f509</vt:lpwstr>
  </property>
  <property fmtid="{D5CDD505-2E9C-101B-9397-08002B2CF9AE}" pid="5" name="BCS1">
    <vt:lpwstr>10;#4.4.1 Safety Reports/Cases: Assessment|7500dff8-3c6d-475f-a6b6-75de36a7fde4</vt:lpwstr>
  </property>
  <property fmtid="{D5CDD505-2E9C-101B-9397-08002B2CF9AE}" pid="6" name="MSIP_Label_9e5e003a-90eb-47c9-a506-ad47e7a0b281_Enabled">
    <vt:lpwstr>true</vt:lpwstr>
  </property>
  <property fmtid="{D5CDD505-2E9C-101B-9397-08002B2CF9AE}" pid="7" name="MSIP_Label_9e5e003a-90eb-47c9-a506-ad47e7a0b281_SetDate">
    <vt:lpwstr>2022-07-01T09:29:12Z</vt:lpwstr>
  </property>
  <property fmtid="{D5CDD505-2E9C-101B-9397-08002B2CF9AE}" pid="8" name="MSIP_Label_9e5e003a-90eb-47c9-a506-ad47e7a0b281_Method">
    <vt:lpwstr>Privileged</vt:lpwstr>
  </property>
  <property fmtid="{D5CDD505-2E9C-101B-9397-08002B2CF9AE}" pid="9" name="MSIP_Label_9e5e003a-90eb-47c9-a506-ad47e7a0b281_Name">
    <vt:lpwstr>OFFICIAL</vt:lpwstr>
  </property>
  <property fmtid="{D5CDD505-2E9C-101B-9397-08002B2CF9AE}" pid="10" name="MSIP_Label_9e5e003a-90eb-47c9-a506-ad47e7a0b281_SiteId">
    <vt:lpwstr>742775df-8077-48d6-81d0-1e82a1f52cb8</vt:lpwstr>
  </property>
  <property fmtid="{D5CDD505-2E9C-101B-9397-08002B2CF9AE}" pid="11" name="MSIP_Label_9e5e003a-90eb-47c9-a506-ad47e7a0b281_ActionId">
    <vt:lpwstr>23638b36-612a-40f8-bb73-956cbf377e51</vt:lpwstr>
  </property>
  <property fmtid="{D5CDD505-2E9C-101B-9397-08002B2CF9AE}" pid="12" name="MSIP_Label_9e5e003a-90eb-47c9-a506-ad47e7a0b281_ContentBits">
    <vt:lpwstr>0</vt:lpwstr>
  </property>
  <property fmtid="{D5CDD505-2E9C-101B-9397-08002B2CF9AE}" pid="13" name="MediaServiceImageTags">
    <vt:lpwstr/>
  </property>
</Properties>
</file>